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 B"/>
        <w:rPr>
          <w:sz w:val="26"/>
          <w:szCs w:val="26"/>
        </w:rPr>
      </w:pPr>
    </w:p>
    <w:p>
      <w:pPr>
        <w:pStyle w:val="Body B"/>
        <w:rPr>
          <w:sz w:val="26"/>
          <w:szCs w:val="26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1935797</wp:posOffset>
                </wp:positionH>
                <wp:positionV relativeFrom="line">
                  <wp:posOffset>82232</wp:posOffset>
                </wp:positionV>
                <wp:extent cx="41148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52.4pt;margin-top:6.5pt;width:324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/>
        </w:rPr>
      </w:pPr>
      <w:r>
        <w:rPr>
          <w:rFonts w:ascii="Times New Roman"/>
          <w:b w:val="1"/>
          <w:bCs w:val="1"/>
          <w:sz w:val="26"/>
          <w:szCs w:val="26"/>
          <w:u w:val="single"/>
          <w:rtl w:val="0"/>
        </w:rPr>
        <w:t>Gyakorlati fogorvostanhallgat</w:t>
      </w:r>
      <w:r>
        <w:rPr>
          <w:rFonts w:hAnsi="Times New Roman" w:hint="default"/>
          <w:b w:val="1"/>
          <w:bCs w:val="1"/>
          <w:sz w:val="26"/>
          <w:szCs w:val="26"/>
          <w:u w:val="single"/>
          <w:rtl w:val="0"/>
        </w:rPr>
        <w:t>ó</w:t>
      </w:r>
      <w:r>
        <w:rPr>
          <w:rFonts w:ascii="Times New Roman"/>
          <w:b w:val="1"/>
          <w:bCs w:val="1"/>
          <w:sz w:val="26"/>
          <w:szCs w:val="26"/>
          <w:u w:val="single"/>
          <w:rtl w:val="0"/>
        </w:rPr>
        <w:t>i verseny</w:t>
      </w:r>
    </w:p>
    <w:p>
      <w:pPr>
        <w:pStyle w:val="Alapértelmezett"/>
        <w:jc w:val="both"/>
        <w:rPr>
          <w:sz w:val="26"/>
          <w:szCs w:val="26"/>
        </w:rPr>
      </w:pPr>
    </w:p>
    <w:p>
      <w:pPr>
        <w:pStyle w:val="Alapértelmezett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A 2015. 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vi TDK Konferencia keretien bel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l szervezett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Gyakorlati fogorvostanhallgat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i verseny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-re v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rja a szervez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bizotts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g tov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 xml:space="preserve">bbi 5 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rdekl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hallgat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</w:rPr>
        <w:t>jelentkez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t (technikai okokb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l limit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lt a r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szvev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k l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tsz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ma, max. 20 f</w:t>
      </w:r>
      <w:r>
        <w:rPr>
          <w:sz w:val="26"/>
          <w:szCs w:val="26"/>
          <w:rtl w:val="0"/>
        </w:rPr>
        <w:t>ő é</w:t>
      </w:r>
      <w:r>
        <w:rPr>
          <w:sz w:val="26"/>
          <w:szCs w:val="26"/>
          <w:rtl w:val="0"/>
        </w:rPr>
        <w:t>s eddig 15 f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jelentkezett). A versenyre m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  <w:lang w:val="de-DE"/>
        </w:rPr>
        <w:t xml:space="preserve">g minden V. 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 xml:space="preserve">ves, az 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szi szemeszter v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 5-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s konzerv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</w:rPr>
        <w:t>fog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szati gyakorlati jegyet kapott hallgat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</w:rPr>
        <w:t>jelentkezhet. T</w:t>
      </w:r>
      <w:r>
        <w:rPr>
          <w:sz w:val="26"/>
          <w:szCs w:val="26"/>
          <w:rtl w:val="0"/>
        </w:rPr>
        <w:t>ú</w:t>
      </w:r>
      <w:r>
        <w:rPr>
          <w:sz w:val="26"/>
          <w:szCs w:val="26"/>
          <w:rtl w:val="0"/>
        </w:rPr>
        <w:t>ljelentkez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 eset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 els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bbs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  <w:lang w:val="da-DK"/>
        </w:rPr>
        <w:t xml:space="preserve">get 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lveznek az akt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v TDK hallgat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k, illetve sz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t a jelentkez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sek be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rkez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si sorrendje is. Jelentkezni a k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vetkez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  <w:lang w:val="fr-FR"/>
        </w:rPr>
        <w:t>email c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mre 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ld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tt lev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llel lehet: farkashdishandor@gmail.com. A lev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lben szerepelnie kell a hallgat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</w:rPr>
        <w:t>teljes nev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 xml:space="preserve">nek, 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vfolyam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 xml:space="preserve">nak, az 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szi szemeszter v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 kapott konzerv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</w:rPr>
        <w:t>fog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szati gyakorlati jegy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nek, valamint aki v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gez TDK munk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t, k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rj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 adja meg ennek a c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  <w:lang w:val="en-US"/>
        </w:rPr>
        <w:t>s a t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mavezet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t is.</w:t>
      </w:r>
    </w:p>
    <w:p>
      <w:pPr>
        <w:pStyle w:val="Alapértelmezett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A versenyre regisztr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lt r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sztvev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knek fantomfejben 2 gyakorlati esetet kell megoldaniuk. A verseny sor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 fels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nagymetsz</w:t>
      </w:r>
      <w:r>
        <w:rPr>
          <w:sz w:val="26"/>
          <w:szCs w:val="26"/>
          <w:rtl w:val="0"/>
        </w:rPr>
        <w:t xml:space="preserve">ő </w:t>
      </w:r>
      <w:r>
        <w:rPr>
          <w:sz w:val="26"/>
          <w:szCs w:val="26"/>
          <w:rtl w:val="0"/>
        </w:rPr>
        <w:t>megadott prepar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 xml:space="preserve">ja 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 eszt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tikai restaur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ci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ja lesz a feladat eszt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tikus kompozit anyag haszn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lat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val, valamint egy implant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tum behelyez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nek a megtervez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se. A r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sztvev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k a verseny el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  <w:lang w:val="sv-SE"/>
        </w:rPr>
        <w:t>tt r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vid elm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leti felk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sz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st kapnak mindk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t t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mak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rben, majd a feladatokat a felk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sz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ő</w:t>
      </w:r>
      <w:r>
        <w:rPr>
          <w:sz w:val="26"/>
          <w:szCs w:val="26"/>
          <w:rtl w:val="0"/>
        </w:rPr>
        <w:t>k demonstr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lni is fogj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k.</w:t>
      </w:r>
    </w:p>
    <w:p>
      <w:pPr>
        <w:pStyle w:val="Alapértelmezett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A r</w:t>
      </w:r>
      <w:r>
        <w:rPr>
          <w:sz w:val="26"/>
          <w:szCs w:val="26"/>
          <w:rtl w:val="0"/>
        </w:rPr>
        <w:t>é</w:t>
      </w:r>
      <w:r>
        <w:rPr>
          <w:sz w:val="26"/>
          <w:szCs w:val="26"/>
          <w:rtl w:val="0"/>
        </w:rPr>
        <w:t>szletes programot minden regisztr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lt hallgat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</w:rPr>
        <w:t>nak el lesz k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ldve a verseny el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tt e-mailben.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/>
          <w:b w:val="1"/>
          <w:bCs w:val="1"/>
          <w:i w:val="1"/>
          <w:iCs w:val="1"/>
          <w:sz w:val="26"/>
          <w:szCs w:val="26"/>
          <w:u w:val="single"/>
          <w:rtl w:val="0"/>
        </w:rPr>
        <w:t>Id</w:t>
      </w:r>
      <w:r>
        <w:rPr>
          <w:rFonts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</w:rPr>
        <w:t>ő</w:t>
      </w:r>
      <w:r>
        <w:rPr>
          <w:rFonts w:ascii="Times New Roman"/>
          <w:b w:val="1"/>
          <w:bCs w:val="1"/>
          <w:i w:val="1"/>
          <w:iCs w:val="1"/>
          <w:sz w:val="26"/>
          <w:szCs w:val="26"/>
          <w:u w:val="single"/>
          <w:rtl w:val="0"/>
        </w:rPr>
        <w:t>pont:</w:t>
      </w:r>
      <w:r>
        <w:rPr>
          <w:rFonts w:ascii="Times New Roman"/>
          <w:sz w:val="26"/>
          <w:szCs w:val="26"/>
          <w:rtl w:val="0"/>
        </w:rPr>
        <w:t xml:space="preserve"> 2015. 02. 11. (szerda) 14.00-19.30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88" w:lineRule="auto"/>
        <w:jc w:val="both"/>
      </w:pPr>
      <w:r>
        <w:rPr>
          <w:rFonts w:ascii="Times New Roman"/>
          <w:b w:val="1"/>
          <w:bCs w:val="1"/>
          <w:i w:val="1"/>
          <w:iCs w:val="1"/>
          <w:sz w:val="26"/>
          <w:szCs w:val="26"/>
          <w:u w:val="single"/>
          <w:rtl w:val="0"/>
        </w:rPr>
        <w:t>Hely:</w:t>
      </w:r>
      <w:r>
        <w:rPr>
          <w:rFonts w:ascii="Times New Roman"/>
          <w:sz w:val="26"/>
          <w:szCs w:val="26"/>
          <w:rtl w:val="0"/>
        </w:rPr>
        <w:t xml:space="preserve"> 1088 Budapest, Szentkir</w:t>
      </w:r>
      <w:r>
        <w:rPr>
          <w:rFonts w:hAnsi="Times New Roman" w:hint="default"/>
          <w:sz w:val="26"/>
          <w:szCs w:val="26"/>
          <w:rtl w:val="0"/>
        </w:rPr>
        <w:t>á</w:t>
      </w:r>
      <w:r>
        <w:rPr>
          <w:rFonts w:ascii="Times New Roman"/>
          <w:sz w:val="26"/>
          <w:szCs w:val="26"/>
          <w:rtl w:val="0"/>
        </w:rPr>
        <w:t>lyi u. 47., Fogorvostudom</w:t>
      </w:r>
      <w:r>
        <w:rPr>
          <w:rFonts w:hAnsi="Times New Roman" w:hint="default"/>
          <w:sz w:val="26"/>
          <w:szCs w:val="26"/>
          <w:rtl w:val="0"/>
        </w:rPr>
        <w:t>á</w:t>
      </w:r>
      <w:r>
        <w:rPr>
          <w:rFonts w:ascii="Times New Roman"/>
          <w:sz w:val="26"/>
          <w:szCs w:val="26"/>
          <w:rtl w:val="0"/>
        </w:rPr>
        <w:t>nyi Kar, Oktat</w:t>
      </w:r>
      <w:r>
        <w:rPr>
          <w:rFonts w:hAnsi="Times New Roman" w:hint="default"/>
          <w:sz w:val="26"/>
          <w:szCs w:val="26"/>
          <w:rtl w:val="0"/>
        </w:rPr>
        <w:t>á</w:t>
      </w:r>
      <w:r>
        <w:rPr>
          <w:rFonts w:ascii="Times New Roman"/>
          <w:sz w:val="26"/>
          <w:szCs w:val="26"/>
          <w:rtl w:val="0"/>
        </w:rPr>
        <w:t>si Centrum (FOCI), 2. emelet, F</w:t>
      </w:r>
      <w:r>
        <w:rPr>
          <w:rFonts w:hAnsi="Times New Roman" w:hint="default"/>
          <w:sz w:val="26"/>
          <w:szCs w:val="26"/>
          <w:rtl w:val="0"/>
        </w:rPr>
        <w:t>ö</w:t>
      </w:r>
      <w:r>
        <w:rPr>
          <w:rFonts w:ascii="Times New Roman"/>
          <w:sz w:val="26"/>
          <w:szCs w:val="26"/>
          <w:rtl w:val="0"/>
        </w:rPr>
        <w:t>ldv</w:t>
      </w:r>
      <w:r>
        <w:rPr>
          <w:rFonts w:hAnsi="Times New Roman" w:hint="default"/>
          <w:sz w:val="26"/>
          <w:szCs w:val="26"/>
          <w:rtl w:val="0"/>
        </w:rPr>
        <w:t>á</w:t>
      </w:r>
      <w:r>
        <w:rPr>
          <w:rFonts w:ascii="Times New Roman"/>
          <w:sz w:val="26"/>
          <w:szCs w:val="26"/>
          <w:rtl w:val="0"/>
        </w:rPr>
        <w:t xml:space="preserve">ri Imre tanlabor  </w:t>
      </w: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18" w:right="1558" w:bottom="907" w:left="1985" w:header="0" w:footer="32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337"/>
        <w:tab w:val="clear" w:pos="9072"/>
      </w:tabs>
      <w:spacing w:after="0"/>
      <w:jc w:val="center"/>
      <w:rPr>
        <w:rtl w:val="0"/>
      </w:rPr>
    </w:pPr>
    <w:r>
      <w:rPr>
        <w:rtl w:val="0"/>
      </w:rPr>
      <w:t xml:space="preserve">Semmelweis Egyetem </w:t>
    </w:r>
  </w:p>
  <w:p>
    <w:pPr>
      <w:pStyle w:val="footer"/>
      <w:tabs>
        <w:tab w:val="right" w:pos="8337"/>
        <w:tab w:val="clear" w:pos="9072"/>
      </w:tabs>
      <w:spacing w:after="0"/>
      <w:jc w:val="center"/>
      <w:rPr>
        <w:rtl w:val="0"/>
      </w:rPr>
    </w:pPr>
    <w:r>
      <w:rPr>
        <w:rtl w:val="0"/>
      </w:rPr>
      <w:t>Nagyv</w:t>
    </w:r>
    <w:r>
      <w:rPr>
        <w:rFonts w:hAnsi="Times New Roman" w:hint="default"/>
        <w:rtl w:val="0"/>
      </w:rPr>
      <w:t>á</w:t>
    </w:r>
    <w:r>
      <w:rPr>
        <w:rtl w:val="0"/>
        <w:lang w:val="en-US"/>
      </w:rPr>
      <w:t>rad t</w:t>
    </w:r>
    <w:r>
      <w:rPr>
        <w:rFonts w:hAnsi="Times New Roman" w:hint="default"/>
        <w:rtl w:val="0"/>
      </w:rPr>
      <w:t>é</w:t>
    </w:r>
    <w:r>
      <w:rPr>
        <w:rtl w:val="0"/>
      </w:rPr>
      <w:t>ri Elm</w:t>
    </w:r>
    <w:r>
      <w:rPr>
        <w:rFonts w:hAnsi="Times New Roman" w:hint="default"/>
        <w:rtl w:val="0"/>
      </w:rPr>
      <w:t>é</w:t>
    </w:r>
    <w:r>
      <w:rPr>
        <w:rtl w:val="0"/>
      </w:rPr>
      <w:t>leti T</w:t>
    </w:r>
    <w:r>
      <w:rPr>
        <w:rFonts w:hAnsi="Times New Roman" w:hint="default"/>
        <w:rtl w:val="0"/>
      </w:rPr>
      <w:t>ö</w:t>
    </w:r>
    <w:r>
      <w:rPr>
        <w:rtl w:val="0"/>
      </w:rPr>
      <w:t>mb</w:t>
    </w:r>
  </w:p>
  <w:p>
    <w:pPr>
      <w:pStyle w:val="footer"/>
      <w:tabs>
        <w:tab w:val="right" w:pos="8337"/>
        <w:tab w:val="clear" w:pos="9072"/>
      </w:tabs>
      <w:spacing w:after="0"/>
      <w:jc w:val="center"/>
      <w:rPr>
        <w:rtl w:val="0"/>
      </w:rPr>
    </w:pPr>
    <w:r>
      <w:rPr>
        <w:rtl w:val="0"/>
      </w:rPr>
      <w:t>1089 Budapest,</w:t>
    </w:r>
  </w:p>
  <w:p>
    <w:pPr>
      <w:pStyle w:val="footer"/>
      <w:tabs>
        <w:tab w:val="right" w:pos="8337"/>
        <w:tab w:val="clear" w:pos="9072"/>
      </w:tabs>
      <w:spacing w:after="0"/>
      <w:jc w:val="center"/>
    </w:pPr>
    <w:r>
      <w:rPr>
        <w:rtl w:val="0"/>
      </w:rPr>
      <w:t>Nagyv</w:t>
    </w:r>
    <w:r>
      <w:rPr>
        <w:rFonts w:hAnsi="Times New Roman" w:hint="default"/>
        <w:rtl w:val="0"/>
      </w:rPr>
      <w:t>á</w:t>
    </w:r>
    <w:r>
      <w:rPr>
        <w:rtl w:val="0"/>
        <w:lang w:val="en-US"/>
      </w:rPr>
      <w:t>rad t</w:t>
    </w:r>
    <w:r>
      <w:rPr>
        <w:rFonts w:hAnsi="Times New Roman" w:hint="default"/>
        <w:rtl w:val="0"/>
      </w:rPr>
      <w:t>é</w:t>
    </w:r>
    <w:r>
      <w:rPr>
        <w:rtl w:val="0"/>
      </w:rPr>
      <w:t>r 4. fszt.4.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8337"/>
        <w:tab w:val="clear" w:pos="9020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10149840</wp:posOffset>
              </wp:positionV>
              <wp:extent cx="668655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101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37.5pt;margin-top:799.2pt;width:526.5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708"/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