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3FB4CA" w14:textId="77777777" w:rsidR="00D95E05" w:rsidRPr="002A5A0C" w:rsidRDefault="00D95E05" w:rsidP="00D95E05">
      <w:pPr>
        <w:jc w:val="center"/>
        <w:rPr>
          <w:b/>
          <w:sz w:val="28"/>
        </w:rPr>
      </w:pPr>
      <w:bookmarkStart w:id="0" w:name="_GoBack"/>
      <w:bookmarkEnd w:id="0"/>
      <w:r w:rsidRPr="002A5A0C">
        <w:rPr>
          <w:b/>
          <w:sz w:val="28"/>
        </w:rPr>
        <w:t>A Semmelweis Egyetem</w:t>
      </w:r>
    </w:p>
    <w:p w14:paraId="4007AB16" w14:textId="77777777" w:rsidR="00D95E05" w:rsidRPr="002A5A0C" w:rsidRDefault="00D95E05" w:rsidP="00D95E05">
      <w:pPr>
        <w:jc w:val="center"/>
        <w:rPr>
          <w:b/>
          <w:sz w:val="28"/>
        </w:rPr>
      </w:pPr>
      <w:r w:rsidRPr="002A5A0C">
        <w:rPr>
          <w:b/>
          <w:sz w:val="28"/>
        </w:rPr>
        <w:t>Regionális, Intézményi Tudományos és Kutatásetikai Bizottságának ügyrendje</w:t>
      </w:r>
    </w:p>
    <w:p w14:paraId="013B2EA8" w14:textId="77777777" w:rsidR="00D95E05" w:rsidRDefault="00D95E05" w:rsidP="00D95E05">
      <w:pPr>
        <w:rPr>
          <w:rFonts w:ascii="Arial Black" w:hAnsi="Arial Black"/>
        </w:rPr>
      </w:pPr>
    </w:p>
    <w:p w14:paraId="57BA3626" w14:textId="0A571902" w:rsidR="00445411" w:rsidRPr="00377BE4" w:rsidRDefault="00F143F9" w:rsidP="00D95E05">
      <w:pPr>
        <w:pStyle w:val="lfej"/>
        <w:spacing w:after="120"/>
        <w:jc w:val="both"/>
        <w:rPr>
          <w:szCs w:val="24"/>
        </w:rPr>
      </w:pPr>
      <w:r w:rsidRPr="00377BE4">
        <w:rPr>
          <w:b/>
        </w:rPr>
        <w:t>1</w:t>
      </w:r>
      <w:r w:rsidR="00B62764" w:rsidRPr="00377BE4">
        <w:rPr>
          <w:b/>
        </w:rPr>
        <w:t>.</w:t>
      </w:r>
      <w:r w:rsidR="00B62764" w:rsidRPr="00377BE4">
        <w:t xml:space="preserve"> </w:t>
      </w:r>
      <w:r w:rsidR="00D95E05">
        <w:t>A Semmelweis Egyetem Regionális, Intézményi Tudományos és Kutatásetikai Bizottsága (SE REKEB)</w:t>
      </w:r>
      <w:r w:rsidR="009C598F" w:rsidRPr="00377BE4">
        <w:t xml:space="preserve"> (a továbbiakban: Bizottság) </w:t>
      </w:r>
      <w:r w:rsidR="00B62764" w:rsidRPr="00377BE4">
        <w:t>az egészségügyről szóló 1997. évi CLIV. törvény</w:t>
      </w:r>
      <w:r w:rsidR="00FA0369" w:rsidRPr="00377BE4">
        <w:t>;</w:t>
      </w:r>
      <w:r w:rsidR="007B59B2" w:rsidRPr="00377BE4">
        <w:t xml:space="preserve"> </w:t>
      </w:r>
      <w:r w:rsidR="00CD46DC" w:rsidRPr="00377BE4">
        <w:t>az emberen végzett orvostudományi kutatások, az emberi felhasználásra kerülő vizsgálati készítmények klinikai vizsgálata, valamint az emberen történő alkalmazásra szolgáló, klinikai vizsgálatra szánt orvostechnikai eszközök klinikai vizsgálata engedélyezési eljárásának szabályairól szóló 235/2009. (X. 20.) Korm. rendelet</w:t>
      </w:r>
      <w:r w:rsidR="00FA0369" w:rsidRPr="00377BE4">
        <w:t>;</w:t>
      </w:r>
      <w:r w:rsidR="00CD46DC" w:rsidRPr="00377BE4">
        <w:t xml:space="preserve"> </w:t>
      </w:r>
      <w:r w:rsidR="00B62764" w:rsidRPr="00377BE4">
        <w:t xml:space="preserve">az emberen végzett orvostudományi </w:t>
      </w:r>
      <w:r w:rsidR="00B7630C" w:rsidRPr="00377BE4">
        <w:t xml:space="preserve">kutatásokról szóló </w:t>
      </w:r>
      <w:r w:rsidR="00B62764" w:rsidRPr="00377BE4">
        <w:t>23/2002.</w:t>
      </w:r>
      <w:r w:rsidR="00377BE4">
        <w:t xml:space="preserve"> </w:t>
      </w:r>
      <w:r w:rsidR="00B62764" w:rsidRPr="00377BE4">
        <w:t>(V.9.) EüM rendelet</w:t>
      </w:r>
      <w:r w:rsidR="00FA0369" w:rsidRPr="00377BE4">
        <w:t>;</w:t>
      </w:r>
      <w:r w:rsidR="00F4047E" w:rsidRPr="00377BE4">
        <w:t xml:space="preserve"> </w:t>
      </w:r>
      <w:bookmarkStart w:id="1" w:name="pr2"/>
      <w:bookmarkStart w:id="2" w:name="pr1"/>
      <w:r w:rsidR="00B62764" w:rsidRPr="00377BE4">
        <w:rPr>
          <w:szCs w:val="24"/>
        </w:rPr>
        <w:t xml:space="preserve">az emberi felhasználásra kerülő vizsgálati </w:t>
      </w:r>
      <w:r w:rsidR="00445411" w:rsidRPr="00377BE4">
        <w:rPr>
          <w:bCs/>
          <w:szCs w:val="24"/>
        </w:rPr>
        <w:t>készítmények klinikai vizsgálatáról és a helyes klinikai gyakorlat alkalmazásáról</w:t>
      </w:r>
      <w:bookmarkEnd w:id="1"/>
      <w:r w:rsidR="00445411" w:rsidRPr="00377BE4">
        <w:rPr>
          <w:bCs/>
          <w:szCs w:val="24"/>
        </w:rPr>
        <w:t xml:space="preserve"> szóló 35/2005. (VIII. 26.) EüM rendelet</w:t>
      </w:r>
      <w:bookmarkEnd w:id="2"/>
      <w:r w:rsidR="00FA0369" w:rsidRPr="00377BE4">
        <w:rPr>
          <w:bCs/>
          <w:szCs w:val="24"/>
        </w:rPr>
        <w:t>;</w:t>
      </w:r>
      <w:r w:rsidR="00F4047E" w:rsidRPr="00377BE4">
        <w:rPr>
          <w:bCs/>
          <w:szCs w:val="24"/>
        </w:rPr>
        <w:t xml:space="preserve"> </w:t>
      </w:r>
      <w:r w:rsidR="00CC5964" w:rsidRPr="00377BE4">
        <w:rPr>
          <w:bCs/>
          <w:szCs w:val="24"/>
        </w:rPr>
        <w:t xml:space="preserve">az orvostechnikai eszközök klinikai vizsgálatáról szóló 33/2009. (X. 20.) EüM rendelet </w:t>
      </w:r>
      <w:r w:rsidR="00F4047E" w:rsidRPr="00377BE4">
        <w:rPr>
          <w:bCs/>
          <w:szCs w:val="24"/>
        </w:rPr>
        <w:t>és</w:t>
      </w:r>
      <w:r w:rsidR="00CC5964" w:rsidRPr="00377BE4">
        <w:rPr>
          <w:bCs/>
          <w:szCs w:val="24"/>
        </w:rPr>
        <w:t xml:space="preserve"> az Egészségügyi Tudományos Tanácsról szóló 28/2014. (IV. 10.) EMMI rendelet </w:t>
      </w:r>
      <w:r w:rsidR="00FA0369" w:rsidRPr="00377BE4">
        <w:rPr>
          <w:szCs w:val="24"/>
        </w:rPr>
        <w:t>alapján működik.</w:t>
      </w:r>
    </w:p>
    <w:p w14:paraId="51436615" w14:textId="2691BC4C" w:rsidR="009C598F" w:rsidRDefault="009C598F" w:rsidP="00377BE4">
      <w:pPr>
        <w:pStyle w:val="lfej"/>
        <w:spacing w:after="120"/>
        <w:jc w:val="both"/>
        <w:rPr>
          <w:b/>
          <w:sz w:val="20"/>
        </w:rPr>
      </w:pPr>
      <w:r w:rsidRPr="00377BE4">
        <w:t xml:space="preserve">A Bizottság angol megnevezése </w:t>
      </w:r>
      <w:r w:rsidR="00D95E05">
        <w:rPr>
          <w:b/>
          <w:sz w:val="20"/>
        </w:rPr>
        <w:t>SEMMELWEIS UNIVERSITY REGIONAL AND INSTITUTIONAL COMMITTEE OF SCIENCE AND RESEARCH ETHICS</w:t>
      </w:r>
    </w:p>
    <w:p w14:paraId="3FF17EA9" w14:textId="77777777" w:rsidR="00D95E05" w:rsidRPr="00377BE4" w:rsidRDefault="00D95E05" w:rsidP="00377BE4">
      <w:pPr>
        <w:pStyle w:val="lfej"/>
        <w:spacing w:after="120"/>
        <w:jc w:val="both"/>
        <w:rPr>
          <w:b/>
          <w:sz w:val="20"/>
        </w:rPr>
      </w:pPr>
    </w:p>
    <w:p w14:paraId="7A8659AA" w14:textId="578A1EDC" w:rsidR="00D95E05" w:rsidRDefault="009C598F" w:rsidP="00D95E05">
      <w:pPr>
        <w:jc w:val="both"/>
      </w:pPr>
      <w:r w:rsidRPr="00377BE4">
        <w:t>A Bizottság a</w:t>
      </w:r>
      <w:r w:rsidR="00D95E05">
        <w:t xml:space="preserve"> </w:t>
      </w:r>
      <w:bookmarkStart w:id="3" w:name="_Hlk31376519"/>
      <w:r w:rsidR="00D95E05">
        <w:t xml:space="preserve">Semmelweis Egyetem Igazságügyi és Biztosítás-orvostani Intézetében </w:t>
      </w:r>
      <w:bookmarkEnd w:id="3"/>
      <w:r w:rsidR="00D95E05">
        <w:t>működik, cím: 1091 Budapest, Üllői út 93.</w:t>
      </w:r>
    </w:p>
    <w:p w14:paraId="5C92228C" w14:textId="02DFE49C" w:rsidR="00537B58" w:rsidRPr="00377BE4" w:rsidRDefault="00B62764" w:rsidP="00377BE4">
      <w:pPr>
        <w:spacing w:before="240"/>
        <w:jc w:val="both"/>
        <w:rPr>
          <w:b/>
        </w:rPr>
      </w:pPr>
      <w:r w:rsidRPr="00377BE4">
        <w:rPr>
          <w:b/>
        </w:rPr>
        <w:t>2.</w:t>
      </w:r>
      <w:r w:rsidRPr="00377BE4">
        <w:t xml:space="preserve"> </w:t>
      </w:r>
      <w:r w:rsidR="009C598F" w:rsidRPr="00377BE4">
        <w:t>A Bizottság ellátja a</w:t>
      </w:r>
      <w:r w:rsidR="00D95E05">
        <w:t xml:space="preserve"> Semmelweis Egyetemen</w:t>
      </w:r>
      <w:r w:rsidRPr="00377BE4">
        <w:t xml:space="preserve">folyó </w:t>
      </w:r>
      <w:r w:rsidR="00445411" w:rsidRPr="00377BE4">
        <w:rPr>
          <w:color w:val="000000"/>
        </w:rPr>
        <w:t xml:space="preserve">orvostudományi </w:t>
      </w:r>
      <w:r w:rsidRPr="00377BE4">
        <w:rPr>
          <w:color w:val="000000"/>
        </w:rPr>
        <w:t xml:space="preserve">kutatásokkal </w:t>
      </w:r>
      <w:r w:rsidR="00445411" w:rsidRPr="00377BE4">
        <w:rPr>
          <w:color w:val="000000"/>
        </w:rPr>
        <w:t xml:space="preserve">és klinikai vizsgálatokkal </w:t>
      </w:r>
      <w:r w:rsidRPr="00377BE4">
        <w:rPr>
          <w:color w:val="000000"/>
        </w:rPr>
        <w:t xml:space="preserve">kapcsolatban az intézményi kutatásetikai bizottság feladatait, valamint </w:t>
      </w:r>
      <w:bookmarkStart w:id="4" w:name="_Hlk31377393"/>
      <w:r w:rsidRPr="00377BE4">
        <w:rPr>
          <w:color w:val="000000"/>
        </w:rPr>
        <w:t xml:space="preserve">az emberen végzett orvostudományi </w:t>
      </w:r>
      <w:r w:rsidR="00B7630C" w:rsidRPr="00377BE4">
        <w:rPr>
          <w:color w:val="000000"/>
        </w:rPr>
        <w:t>kutatásokról szóló</w:t>
      </w:r>
      <w:bookmarkEnd w:id="4"/>
      <w:r w:rsidRPr="00377BE4">
        <w:rPr>
          <w:color w:val="000000"/>
        </w:rPr>
        <w:t xml:space="preserve"> </w:t>
      </w:r>
      <w:bookmarkStart w:id="5" w:name="_Hlk31377151"/>
      <w:r w:rsidRPr="00377BE4">
        <w:rPr>
          <w:color w:val="000000"/>
        </w:rPr>
        <w:t>23/2002.</w:t>
      </w:r>
      <w:r w:rsidR="00377BE4">
        <w:rPr>
          <w:color w:val="000000"/>
        </w:rPr>
        <w:t xml:space="preserve"> </w:t>
      </w:r>
      <w:r w:rsidRPr="00377BE4">
        <w:rPr>
          <w:color w:val="000000"/>
        </w:rPr>
        <w:t xml:space="preserve">(V.9.) EüM rendelet </w:t>
      </w:r>
      <w:r w:rsidR="00B7630C" w:rsidRPr="00377BE4">
        <w:rPr>
          <w:color w:val="000000"/>
        </w:rPr>
        <w:t>1.</w:t>
      </w:r>
      <w:r w:rsidR="00377BE4">
        <w:rPr>
          <w:color w:val="000000"/>
        </w:rPr>
        <w:t xml:space="preserve"> </w:t>
      </w:r>
      <w:r w:rsidR="00B7630C" w:rsidRPr="00377BE4">
        <w:rPr>
          <w:color w:val="000000"/>
        </w:rPr>
        <w:t xml:space="preserve">számú </w:t>
      </w:r>
      <w:r w:rsidRPr="00377BE4">
        <w:rPr>
          <w:color w:val="000000"/>
        </w:rPr>
        <w:t xml:space="preserve">melléklete </w:t>
      </w:r>
      <w:bookmarkEnd w:id="5"/>
      <w:r w:rsidRPr="00377BE4">
        <w:rPr>
          <w:color w:val="000000"/>
        </w:rPr>
        <w:t xml:space="preserve">alapján </w:t>
      </w:r>
      <w:r w:rsidR="00D95E05">
        <w:rPr>
          <w:color w:val="000000"/>
        </w:rPr>
        <w:t xml:space="preserve">Semmelweis Egyetem </w:t>
      </w:r>
      <w:r w:rsidRPr="00377BE4">
        <w:t xml:space="preserve">tekintetében a regionális kutatásetikai bizottság feladatait. </w:t>
      </w:r>
    </w:p>
    <w:p w14:paraId="02EAC5CE" w14:textId="42659307" w:rsidR="00F03B0A" w:rsidRPr="00377BE4" w:rsidRDefault="00B62764" w:rsidP="00040057">
      <w:pPr>
        <w:spacing w:before="240"/>
        <w:jc w:val="both"/>
      </w:pPr>
      <w:bookmarkStart w:id="6" w:name="_Hlk31362797"/>
      <w:r w:rsidRPr="00377BE4">
        <w:rPr>
          <w:b/>
        </w:rPr>
        <w:t>3.</w:t>
      </w:r>
      <w:r w:rsidRPr="00377BE4">
        <w:t xml:space="preserve"> </w:t>
      </w:r>
      <w:bookmarkEnd w:id="6"/>
      <w:r w:rsidR="00015605" w:rsidRPr="00377BE4">
        <w:t xml:space="preserve">A </w:t>
      </w:r>
      <w:r w:rsidR="001A2D80" w:rsidRPr="00377BE4">
        <w:t>Bizottság</w:t>
      </w:r>
      <w:r w:rsidR="001A2D80" w:rsidRPr="00377BE4" w:rsidDel="001A2D80">
        <w:t xml:space="preserve"> </w:t>
      </w:r>
      <w:r w:rsidRPr="00377BE4">
        <w:rPr>
          <w:b/>
        </w:rPr>
        <w:t>regionális kutatásetikai feladatai</w:t>
      </w:r>
      <w:r w:rsidRPr="00377BE4">
        <w:t xml:space="preserve"> körében</w:t>
      </w:r>
      <w:r w:rsidR="00660437" w:rsidRPr="00377BE4">
        <w:t xml:space="preserve"> mind új kutatásengedélyezési eljárásban, mind engedélyezett kutatás kutatási tervének módosítása iránti eljárásban</w:t>
      </w:r>
      <w:r w:rsidR="00F03B0A" w:rsidRPr="00377BE4">
        <w:t>:</w:t>
      </w:r>
    </w:p>
    <w:p w14:paraId="6FF36A54" w14:textId="2B1D7990" w:rsidR="00537B58" w:rsidRPr="00377BE4" w:rsidRDefault="006D7306" w:rsidP="00040057">
      <w:pPr>
        <w:spacing w:before="60"/>
        <w:ind w:left="709" w:hanging="567"/>
        <w:jc w:val="both"/>
      </w:pPr>
      <w:r w:rsidRPr="00377BE4">
        <w:t>3.1.</w:t>
      </w:r>
      <w:r w:rsidR="00040057">
        <w:tab/>
      </w:r>
      <w:r w:rsidR="00A04B37" w:rsidRPr="00377BE4">
        <w:t>S</w:t>
      </w:r>
      <w:r w:rsidR="00B62764" w:rsidRPr="00377BE4">
        <w:t xml:space="preserve">zakmai-etikai véleményt ad minden olyan, emberen végzett kutatással kapcsolatban, amely esetében a jogszabály nem írja elő, hogy </w:t>
      </w:r>
      <w:r w:rsidR="00537B58" w:rsidRPr="00377BE4">
        <w:t xml:space="preserve">az engedélyezés során az Egészségügyi Tudományos Tanács Tudományos és Kutatásetikai Bizottsága (ETT </w:t>
      </w:r>
      <w:r w:rsidR="00D96021" w:rsidRPr="00377BE4">
        <w:t>TUKEB</w:t>
      </w:r>
      <w:r w:rsidR="00537B58" w:rsidRPr="00377BE4">
        <w:t xml:space="preserve">), </w:t>
      </w:r>
      <w:r w:rsidR="005A1862" w:rsidRPr="00377BE4">
        <w:t xml:space="preserve">Klinikai és Farmakológia Bizottsága (ETT KFEB), vagy </w:t>
      </w:r>
      <w:r w:rsidR="00537B58" w:rsidRPr="00377BE4">
        <w:t>Humán Reprodukciós Bizottsága (ETT HRB) jár el szakhatóságként.</w:t>
      </w:r>
      <w:r w:rsidR="00EE5C9C" w:rsidRPr="00377BE4">
        <w:t xml:space="preserve"> </w:t>
      </w:r>
    </w:p>
    <w:p w14:paraId="68431186" w14:textId="21505DB4" w:rsidR="00B62764" w:rsidRPr="00377BE4" w:rsidRDefault="006D7306" w:rsidP="00040057">
      <w:pPr>
        <w:spacing w:before="60"/>
        <w:ind w:left="709" w:hanging="567"/>
        <w:jc w:val="both"/>
      </w:pPr>
      <w:r w:rsidRPr="00377BE4">
        <w:t>3.2.</w:t>
      </w:r>
      <w:r w:rsidR="00040057">
        <w:tab/>
      </w:r>
      <w:r w:rsidR="00A04B37" w:rsidRPr="00377BE4">
        <w:t>J</w:t>
      </w:r>
      <w:r w:rsidR="00F03B0A" w:rsidRPr="00377BE4">
        <w:t xml:space="preserve">óváhagyja </w:t>
      </w:r>
      <w:r w:rsidR="0091108D" w:rsidRPr="00377BE4">
        <w:t>az emberen végzett orvostudományi kutatásokról szóló</w:t>
      </w:r>
      <w:r w:rsidR="00D9434D" w:rsidRPr="00377BE4">
        <w:t xml:space="preserve"> </w:t>
      </w:r>
      <w:r w:rsidR="00B7630C" w:rsidRPr="00377BE4">
        <w:t>23/2002.(V.9.) EüM rendelet 1.</w:t>
      </w:r>
      <w:r w:rsidR="00015605" w:rsidRPr="00377BE4">
        <w:t xml:space="preserve"> </w:t>
      </w:r>
      <w:r w:rsidR="00B7630C" w:rsidRPr="00377BE4">
        <w:t>számú mellékletében meghatározott,</w:t>
      </w:r>
      <w:r w:rsidR="002B093D" w:rsidRPr="00377BE4">
        <w:t xml:space="preserve"> a</w:t>
      </w:r>
      <w:r w:rsidR="00F03B0A" w:rsidRPr="00377BE4">
        <w:t xml:space="preserve"> </w:t>
      </w:r>
      <w:r w:rsidR="001A2D80" w:rsidRPr="00377BE4">
        <w:t>Bizottság</w:t>
      </w:r>
      <w:r w:rsidR="001A2D80" w:rsidRPr="00377BE4" w:rsidDel="001A2D80">
        <w:t xml:space="preserve"> </w:t>
      </w:r>
      <w:r w:rsidR="00F03B0A" w:rsidRPr="00377BE4">
        <w:t xml:space="preserve">felügyelete alá tartozó IKEB-ek összetételét és ügyrendjét. </w:t>
      </w:r>
    </w:p>
    <w:p w14:paraId="2B00CDCA" w14:textId="7A0F483F" w:rsidR="00F03B0A" w:rsidRPr="00377BE4" w:rsidRDefault="006D7306" w:rsidP="00040057">
      <w:pPr>
        <w:spacing w:before="60"/>
        <w:ind w:left="709" w:hanging="567"/>
        <w:jc w:val="both"/>
      </w:pPr>
      <w:r w:rsidRPr="00377BE4">
        <w:t>3.3.</w:t>
      </w:r>
      <w:r w:rsidR="00040057">
        <w:tab/>
      </w:r>
      <w:r w:rsidR="00A04B37" w:rsidRPr="00377BE4">
        <w:t xml:space="preserve">Szakmailag indokolt esetben véleményt kérhet az Egészségügyi Tudományos Tanács (továbbiakban: ETT) bizottságaitól, valamint más, jogszabályban meghatározott regionális kutatásetikai bizottságtól. Ezeknek a bizottságoknak a megkeresésére </w:t>
      </w:r>
      <w:r w:rsidR="0013058F" w:rsidRPr="00377BE4">
        <w:t xml:space="preserve">– </w:t>
      </w:r>
      <w:r w:rsidR="00A04B37" w:rsidRPr="00377BE4">
        <w:t>szakmailag indokolt esetben – véleményt ad.</w:t>
      </w:r>
    </w:p>
    <w:p w14:paraId="38C03312" w14:textId="3376677A" w:rsidR="006D7306" w:rsidRPr="00377BE4" w:rsidRDefault="006D7306" w:rsidP="00040057">
      <w:pPr>
        <w:spacing w:before="60"/>
        <w:ind w:left="709" w:hanging="567"/>
        <w:jc w:val="both"/>
      </w:pPr>
      <w:r w:rsidRPr="00377BE4">
        <w:t>3.4.</w:t>
      </w:r>
      <w:r w:rsidR="00040057">
        <w:tab/>
      </w:r>
      <w:r w:rsidRPr="00377BE4">
        <w:t xml:space="preserve">Regionális kutatásetikai feladatai körében a </w:t>
      </w:r>
      <w:r w:rsidR="001A2D80" w:rsidRPr="00377BE4">
        <w:t xml:space="preserve">Bizottság </w:t>
      </w:r>
      <w:r w:rsidRPr="00377BE4">
        <w:t>szakmai véleményében állást foglal</w:t>
      </w:r>
    </w:p>
    <w:p w14:paraId="3D88DF66" w14:textId="0F285744" w:rsidR="006D7306" w:rsidRPr="00377BE4" w:rsidRDefault="006D7306" w:rsidP="00040057">
      <w:pPr>
        <w:pStyle w:val="Listaszerbekezds"/>
        <w:numPr>
          <w:ilvl w:val="0"/>
          <w:numId w:val="18"/>
        </w:numPr>
        <w:ind w:left="1134"/>
        <w:jc w:val="both"/>
      </w:pPr>
      <w:r w:rsidRPr="00377BE4">
        <w:t>a kutatás indokoltságáról, tudományos megalapozottságáról, a kutatás etikai</w:t>
      </w:r>
      <w:r w:rsidR="00040057">
        <w:t xml:space="preserve"> </w:t>
      </w:r>
      <w:r w:rsidRPr="00377BE4">
        <w:t>megfelelőségéről, illetve meg nem feleléséről,</w:t>
      </w:r>
    </w:p>
    <w:p w14:paraId="46EF11F6" w14:textId="31639998" w:rsidR="006D7306" w:rsidRPr="00377BE4" w:rsidRDefault="006D7306" w:rsidP="00040057">
      <w:pPr>
        <w:pStyle w:val="Listaszerbekezds"/>
        <w:numPr>
          <w:ilvl w:val="0"/>
          <w:numId w:val="18"/>
        </w:numPr>
        <w:ind w:left="1134"/>
        <w:jc w:val="both"/>
      </w:pPr>
      <w:r w:rsidRPr="00377BE4">
        <w:t>arról, hogy a kutatási terv alapján a résztvevők mindegyike megkapja-e az egészségi állapota által indokolt egészségügyi ellátást,</w:t>
      </w:r>
    </w:p>
    <w:p w14:paraId="5C90F643" w14:textId="76156DC1" w:rsidR="006D7306" w:rsidRPr="00377BE4" w:rsidRDefault="006D7306" w:rsidP="00040057">
      <w:pPr>
        <w:pStyle w:val="Listaszerbekezds"/>
        <w:numPr>
          <w:ilvl w:val="0"/>
          <w:numId w:val="18"/>
        </w:numPr>
        <w:ind w:left="1134"/>
        <w:jc w:val="both"/>
      </w:pPr>
      <w:r w:rsidRPr="00377BE4">
        <w:t>a várható előnyök és kockázatok előzetes becslésének megfelelőségéről, a résztvevőket fenyegető kockázatok és a kutatás várható eredményének arányosságáról,</w:t>
      </w:r>
    </w:p>
    <w:p w14:paraId="404457C2" w14:textId="08FBAD37" w:rsidR="006D7306" w:rsidRPr="00377BE4" w:rsidRDefault="006D7306" w:rsidP="00040057">
      <w:pPr>
        <w:pStyle w:val="Listaszerbekezds"/>
        <w:numPr>
          <w:ilvl w:val="0"/>
          <w:numId w:val="18"/>
        </w:numPr>
        <w:ind w:left="1134"/>
        <w:jc w:val="both"/>
      </w:pPr>
      <w:r w:rsidRPr="00377BE4">
        <w:t>a kutatás vezetőjének szakmai alkalmasságáról és etikai megfelelőségéről,</w:t>
      </w:r>
    </w:p>
    <w:p w14:paraId="18E78B24" w14:textId="29BF36CF" w:rsidR="006D7306" w:rsidRPr="00377BE4" w:rsidRDefault="006D7306" w:rsidP="00040057">
      <w:pPr>
        <w:pStyle w:val="Listaszerbekezds"/>
        <w:numPr>
          <w:ilvl w:val="0"/>
          <w:numId w:val="18"/>
        </w:numPr>
        <w:ind w:left="1134"/>
        <w:jc w:val="both"/>
      </w:pPr>
      <w:r w:rsidRPr="00377BE4">
        <w:lastRenderedPageBreak/>
        <w:t>az egészségügyi intézmény tárgyi feltételeinek megfelelőségéről,</w:t>
      </w:r>
    </w:p>
    <w:p w14:paraId="05D19982" w14:textId="627DAFEF" w:rsidR="006D7306" w:rsidRPr="00377BE4" w:rsidRDefault="006D7306" w:rsidP="00040057">
      <w:pPr>
        <w:pStyle w:val="Listaszerbekezds"/>
        <w:numPr>
          <w:ilvl w:val="0"/>
          <w:numId w:val="18"/>
        </w:numPr>
        <w:ind w:left="1134"/>
        <w:jc w:val="both"/>
      </w:pPr>
      <w:r w:rsidRPr="00377BE4">
        <w:t>az írásos tájékoztató megfelelőségéről, teljeskörűségéről,</w:t>
      </w:r>
    </w:p>
    <w:p w14:paraId="54FAB0E5" w14:textId="10E894C6" w:rsidR="006D7306" w:rsidRPr="00377BE4" w:rsidRDefault="006D7306" w:rsidP="00040057">
      <w:pPr>
        <w:pStyle w:val="Listaszerbekezds"/>
        <w:numPr>
          <w:ilvl w:val="0"/>
          <w:numId w:val="18"/>
        </w:numPr>
        <w:ind w:left="1134"/>
        <w:jc w:val="both"/>
      </w:pPr>
      <w:r w:rsidRPr="00377BE4">
        <w:t>a beleegyező nyilatkozat megfelelőségéről,</w:t>
      </w:r>
    </w:p>
    <w:p w14:paraId="30612286" w14:textId="56147C76" w:rsidR="006D7306" w:rsidRDefault="006D7306" w:rsidP="00040057">
      <w:pPr>
        <w:pStyle w:val="Listaszerbekezds"/>
        <w:numPr>
          <w:ilvl w:val="0"/>
          <w:numId w:val="18"/>
        </w:numPr>
        <w:ind w:left="1134"/>
        <w:jc w:val="both"/>
      </w:pPr>
      <w:r w:rsidRPr="00377BE4">
        <w:t>az esetleges placebo csoport alkalmazásának indokoltságáról,</w:t>
      </w:r>
    </w:p>
    <w:p w14:paraId="6AF7A2F1" w14:textId="71A004C9" w:rsidR="00040057" w:rsidRPr="00377BE4" w:rsidRDefault="00040057" w:rsidP="00040057">
      <w:pPr>
        <w:pStyle w:val="Listaszerbekezds"/>
        <w:numPr>
          <w:ilvl w:val="0"/>
          <w:numId w:val="18"/>
        </w:numPr>
        <w:ind w:left="1134"/>
        <w:jc w:val="both"/>
      </w:pPr>
      <w:r w:rsidRPr="00377BE4">
        <w:t>arról, hogy a biztosítás megfelelő fedezetet nyújt-e a kutatással kapcsolatosan esetlegesen érvényesítendő kártérítési követelésekre,</w:t>
      </w:r>
    </w:p>
    <w:p w14:paraId="197646A6" w14:textId="26084A29" w:rsidR="006D7306" w:rsidRPr="00377BE4" w:rsidRDefault="00040057" w:rsidP="00040057">
      <w:pPr>
        <w:pStyle w:val="Listaszerbekezds"/>
        <w:numPr>
          <w:ilvl w:val="0"/>
          <w:numId w:val="18"/>
        </w:numPr>
        <w:ind w:left="1134"/>
        <w:jc w:val="both"/>
      </w:pPr>
      <w:r w:rsidRPr="00377BE4">
        <w:t>a kutatásban résztvevők számára fizetendő költségtérítésről,</w:t>
      </w:r>
    </w:p>
    <w:p w14:paraId="16985709" w14:textId="3C019F73" w:rsidR="006D7306" w:rsidRPr="00377BE4" w:rsidRDefault="00040057" w:rsidP="00040057">
      <w:pPr>
        <w:pStyle w:val="Listaszerbekezds"/>
        <w:numPr>
          <w:ilvl w:val="0"/>
          <w:numId w:val="18"/>
        </w:numPr>
        <w:ind w:left="1134"/>
        <w:jc w:val="both"/>
      </w:pPr>
      <w:r w:rsidRPr="00377BE4">
        <w:t>a kutatásban résztvevők toborzásának és beválasztásának módjáról és feltételeiről, a toborzás szükségességének indokolásáról, a felhívás tervezett szövegéről, illetve mindezek megfelelőségéről,</w:t>
      </w:r>
    </w:p>
    <w:p w14:paraId="6D4FB920" w14:textId="61BE6D08" w:rsidR="006D7306" w:rsidRPr="00377BE4" w:rsidRDefault="006D7306" w:rsidP="00040057">
      <w:pPr>
        <w:pStyle w:val="Listaszerbekezds"/>
        <w:numPr>
          <w:ilvl w:val="0"/>
          <w:numId w:val="18"/>
        </w:numPr>
        <w:ind w:left="1134"/>
        <w:jc w:val="both"/>
      </w:pPr>
      <w:r w:rsidRPr="00377BE4">
        <w:t>a kutatás során nyert adatok statisztikai feldolgozásának módszeréről,</w:t>
      </w:r>
    </w:p>
    <w:p w14:paraId="267DFE0F" w14:textId="6FC9A46E" w:rsidR="006D7306" w:rsidRPr="00377BE4" w:rsidRDefault="006D7306" w:rsidP="00040057">
      <w:pPr>
        <w:pStyle w:val="Listaszerbekezds"/>
        <w:numPr>
          <w:ilvl w:val="0"/>
          <w:numId w:val="18"/>
        </w:numPr>
        <w:ind w:left="1134"/>
        <w:jc w:val="both"/>
      </w:pPr>
      <w:r w:rsidRPr="00377BE4">
        <w:t>ha a kutatást állapotos, szabadságában korlátozott, korlátozottan cselekvőképes kiskorú, valamint a cselekvőképességében az egészségügyi ellátással összefüggő jogok gyakorlása tekintetében részlegesen korlátozott nagykorú vagy cselekvőképtelen személyen is végzik, ezek bevonásának indokoltságáról és érdekeik védelmének megfelelőségéről,</w:t>
      </w:r>
    </w:p>
    <w:p w14:paraId="4A883B9F" w14:textId="44CD9B7D" w:rsidR="006D7306" w:rsidRPr="00377BE4" w:rsidRDefault="006D7306" w:rsidP="00040057">
      <w:pPr>
        <w:pStyle w:val="Listaszerbekezds"/>
        <w:numPr>
          <w:ilvl w:val="0"/>
          <w:numId w:val="18"/>
        </w:numPr>
        <w:ind w:left="1134"/>
        <w:jc w:val="both"/>
      </w:pPr>
      <w:r w:rsidRPr="00377BE4">
        <w:t>a kutatás vezetőjének és a kutatásban közreműködőknek a díjazásáról,</w:t>
      </w:r>
    </w:p>
    <w:p w14:paraId="6764291D" w14:textId="119F4F6B" w:rsidR="006D7306" w:rsidRPr="00377BE4" w:rsidRDefault="006D7306" w:rsidP="00040057">
      <w:pPr>
        <w:pStyle w:val="Listaszerbekezds"/>
        <w:numPr>
          <w:ilvl w:val="0"/>
          <w:numId w:val="18"/>
        </w:numPr>
        <w:ind w:left="1134"/>
        <w:jc w:val="both"/>
      </w:pPr>
      <w:r w:rsidRPr="00377BE4">
        <w:t>a résztvevők személyes adatai kezelésének jogszerűségéről, és arról, hogy a várható kockázatot a várható terápiás előny meghaladja-e.</w:t>
      </w:r>
    </w:p>
    <w:p w14:paraId="11F157A4" w14:textId="45FB0443" w:rsidR="00F03B0A" w:rsidRPr="00377BE4" w:rsidRDefault="006D7306" w:rsidP="00040057">
      <w:pPr>
        <w:spacing w:before="60"/>
        <w:ind w:left="709" w:hanging="567"/>
        <w:jc w:val="both"/>
      </w:pPr>
      <w:r w:rsidRPr="00377BE4">
        <w:t>3.5.</w:t>
      </w:r>
      <w:r w:rsidR="00040057">
        <w:tab/>
      </w:r>
      <w:r w:rsidRPr="00377BE4">
        <w:t xml:space="preserve">Az engedélyezési eljárásban, ha az engedélyező az országos tisztifőorvos, akkor az országos tisztifőorvos engedélyező határozatát megküldi a </w:t>
      </w:r>
      <w:r w:rsidR="00C952E9" w:rsidRPr="00377BE4">
        <w:t>Bizottságnak</w:t>
      </w:r>
      <w:r w:rsidRPr="00377BE4">
        <w:t xml:space="preserve">. A kutatás megkezdésének időpontjáról az egészségügyi intézmény vezetője értesíti a </w:t>
      </w:r>
      <w:r w:rsidR="00C952E9" w:rsidRPr="00377BE4">
        <w:t>Bizottságo</w:t>
      </w:r>
      <w:r w:rsidRPr="00377BE4">
        <w:t>t. Az országos tisztifőorvos a kutatást felfüggesztő, illetve megszüntető határozatáról és annak indokairól haladéktalanul értesíti az engedélyezé</w:t>
      </w:r>
      <w:r w:rsidR="00C952E9" w:rsidRPr="00377BE4">
        <w:t>si eljárásban szakvéleményt adó</w:t>
      </w:r>
      <w:r w:rsidRPr="00377BE4">
        <w:t xml:space="preserve"> </w:t>
      </w:r>
      <w:r w:rsidR="00C952E9" w:rsidRPr="00377BE4">
        <w:t xml:space="preserve">Bizottságot. </w:t>
      </w:r>
      <w:r w:rsidRPr="00377BE4">
        <w:t xml:space="preserve">Ha a kérelmező a felfüggesztésről szóló határozatban foglaltaknak eleget tesz, az országos tisztifőorvos dönt a kutatás felfüggesztésének megszüntetéséről. A felfüggesztés megszüntetéséről szóló döntés meghozatalához az országos tisztifőorvos beszerzi az eljárásában részt vett </w:t>
      </w:r>
      <w:r w:rsidR="00C952E9" w:rsidRPr="00377BE4">
        <w:t xml:space="preserve">Bizottság </w:t>
      </w:r>
      <w:r w:rsidRPr="00377BE4">
        <w:t>szakértői véleményét.</w:t>
      </w:r>
    </w:p>
    <w:p w14:paraId="70042901" w14:textId="0F975B9D" w:rsidR="00B62764" w:rsidRPr="00377BE4" w:rsidRDefault="00B62764" w:rsidP="00040057">
      <w:pPr>
        <w:spacing w:before="240"/>
        <w:jc w:val="both"/>
      </w:pPr>
      <w:r w:rsidRPr="00377BE4">
        <w:rPr>
          <w:b/>
        </w:rPr>
        <w:t>4.</w:t>
      </w:r>
      <w:r w:rsidR="00015605" w:rsidRPr="00377BE4">
        <w:t xml:space="preserve"> A </w:t>
      </w:r>
      <w:r w:rsidR="001B15AC" w:rsidRPr="00377BE4">
        <w:t xml:space="preserve">Bizottság </w:t>
      </w:r>
      <w:r w:rsidRPr="00377BE4">
        <w:rPr>
          <w:b/>
        </w:rPr>
        <w:t>intézményi kutatásetikai feladatai</w:t>
      </w:r>
      <w:r w:rsidRPr="00377BE4">
        <w:t xml:space="preserve"> keretében</w:t>
      </w:r>
      <w:r w:rsidR="00FA42E6" w:rsidRPr="00377BE4">
        <w:t xml:space="preserve"> mind új kutatás engedélyezési eljárásban, mind engedélyezett kutatás kutatási tervének módosítása iránti eljárásban:</w:t>
      </w:r>
    </w:p>
    <w:p w14:paraId="7C1CCDC4" w14:textId="70214B46" w:rsidR="00C9211E" w:rsidRPr="00DB2A07" w:rsidRDefault="00C9211E" w:rsidP="00040057">
      <w:pPr>
        <w:pStyle w:val="Listaszerbekezds"/>
        <w:numPr>
          <w:ilvl w:val="1"/>
          <w:numId w:val="16"/>
        </w:numPr>
        <w:spacing w:before="60"/>
        <w:ind w:left="709" w:hanging="567"/>
        <w:contextualSpacing w:val="0"/>
        <w:jc w:val="both"/>
        <w:rPr>
          <w:szCs w:val="24"/>
        </w:rPr>
      </w:pPr>
      <w:r w:rsidRPr="00224BB2">
        <w:rPr>
          <w:szCs w:val="24"/>
        </w:rPr>
        <w:t xml:space="preserve">az </w:t>
      </w:r>
      <w:r w:rsidRPr="00224BB2">
        <w:rPr>
          <w:b/>
          <w:bCs/>
          <w:szCs w:val="24"/>
        </w:rPr>
        <w:t>emberen végzett orvostudományi kutatás</w:t>
      </w:r>
      <w:r w:rsidR="00EE28B7" w:rsidRPr="00224BB2">
        <w:rPr>
          <w:b/>
          <w:bCs/>
          <w:szCs w:val="24"/>
        </w:rPr>
        <w:t>okról</w:t>
      </w:r>
      <w:r w:rsidR="00EE28B7" w:rsidRPr="00995848">
        <w:rPr>
          <w:szCs w:val="24"/>
        </w:rPr>
        <w:t xml:space="preserve"> szóló </w:t>
      </w:r>
      <w:r w:rsidRPr="00995848">
        <w:rPr>
          <w:szCs w:val="24"/>
        </w:rPr>
        <w:t>23/2002.(V.9.) EüM rendelet hatálya alá tartozó kutatások tekintetében:</w:t>
      </w:r>
    </w:p>
    <w:p w14:paraId="6B858BA1" w14:textId="50363CC2" w:rsidR="00B62764" w:rsidRDefault="00B62764" w:rsidP="00287D89">
      <w:pPr>
        <w:numPr>
          <w:ilvl w:val="1"/>
          <w:numId w:val="5"/>
        </w:numPr>
        <w:tabs>
          <w:tab w:val="clear" w:pos="720"/>
        </w:tabs>
        <w:spacing w:before="60"/>
        <w:ind w:left="879" w:hanging="170"/>
        <w:jc w:val="both"/>
      </w:pPr>
      <w:r w:rsidRPr="001B11EF">
        <w:rPr>
          <w:szCs w:val="24"/>
        </w:rPr>
        <w:t xml:space="preserve">véleményezi a </w:t>
      </w:r>
      <w:r w:rsidR="00D95E05">
        <w:rPr>
          <w:szCs w:val="24"/>
        </w:rPr>
        <w:t>Semmelweis Egyetemen</w:t>
      </w:r>
      <w:r w:rsidR="001B15AC" w:rsidRPr="001C76AC">
        <w:t xml:space="preserve"> </w:t>
      </w:r>
      <w:r w:rsidRPr="001B11EF">
        <w:rPr>
          <w:szCs w:val="24"/>
        </w:rPr>
        <w:t xml:space="preserve">folyó </w:t>
      </w:r>
      <w:r w:rsidR="00C9211E" w:rsidRPr="001B11EF">
        <w:rPr>
          <w:szCs w:val="24"/>
        </w:rPr>
        <w:t>orvostudományi</w:t>
      </w:r>
      <w:r w:rsidR="00C9211E" w:rsidRPr="001B11EF">
        <w:t xml:space="preserve"> </w:t>
      </w:r>
      <w:r w:rsidRPr="001B11EF">
        <w:t xml:space="preserve">kutatásokat abból a szempontból, hogy az intézmény személyi és tárgyi feltételei a </w:t>
      </w:r>
      <w:r w:rsidR="00287D89">
        <w:t>kutatás végzésére megfelelőek-e;</w:t>
      </w:r>
    </w:p>
    <w:p w14:paraId="7D4A8683" w14:textId="12AB97D1" w:rsidR="00B62764" w:rsidRDefault="005A1862" w:rsidP="00287D89">
      <w:pPr>
        <w:numPr>
          <w:ilvl w:val="1"/>
          <w:numId w:val="5"/>
        </w:numPr>
        <w:tabs>
          <w:tab w:val="clear" w:pos="720"/>
        </w:tabs>
        <w:spacing w:before="60"/>
        <w:ind w:left="879" w:hanging="170"/>
        <w:jc w:val="both"/>
      </w:pPr>
      <w:r>
        <w:t>figyelemmel kíséri</w:t>
      </w:r>
      <w:r w:rsidR="00B62764" w:rsidRPr="00D71C7D">
        <w:t>, hogy a kutatást az engedélyben és a kutatási terven előírtaknak me</w:t>
      </w:r>
      <w:r w:rsidR="00287D89">
        <w:t>gfelelően végzik-e;</w:t>
      </w:r>
      <w:r w:rsidR="00B62764">
        <w:t xml:space="preserve"> a részvető tájékoztatás és a beleegyező nyilatkozat megfelel-e a jogszabályban foglalt követelményeknek, a vizsgálatban résztvevők kiválasztásának módja az engedélyben foglaltaknak megfelel-e, a résztvevők személyes adatai kezelésénél jogszerűen járnak-e el, a cselekvőképtelen vagy korlátozottan cselekvőképes </w:t>
      </w:r>
      <w:r w:rsidR="00A07D0E" w:rsidRPr="00A07D0E">
        <w:t>kiskorú és cselekvőképességében az egészségügyi ellátással összefüggő jogok gyakorlása tekintetében, valamint valamely vagyoni jellegű ügycsoport tekintetében részlegesen korlátozott személy</w:t>
      </w:r>
      <w:r w:rsidR="00B62764">
        <w:t xml:space="preserve"> bevonásával tervezett kutatás esetében a jogszabályban foglaltak </w:t>
      </w:r>
      <w:r w:rsidR="00A07D0E">
        <w:t xml:space="preserve">maradéktalanul </w:t>
      </w:r>
      <w:r w:rsidR="00287D89">
        <w:t>megvalósulnak-e;</w:t>
      </w:r>
    </w:p>
    <w:p w14:paraId="2AF88088" w14:textId="7F099505" w:rsidR="005A1862" w:rsidRDefault="005A1862" w:rsidP="00287D89">
      <w:pPr>
        <w:numPr>
          <w:ilvl w:val="0"/>
          <w:numId w:val="11"/>
        </w:numPr>
        <w:tabs>
          <w:tab w:val="clear" w:pos="720"/>
        </w:tabs>
        <w:spacing w:before="60"/>
        <w:ind w:left="879" w:hanging="170"/>
        <w:jc w:val="both"/>
      </w:pPr>
      <w:r>
        <w:t>jelzéssel él</w:t>
      </w:r>
      <w:r w:rsidRPr="005A1862">
        <w:t xml:space="preserve"> az engedélyező felé, ha </w:t>
      </w:r>
      <w:r w:rsidR="0023048D">
        <w:t xml:space="preserve">a Bizottság </w:t>
      </w:r>
      <w:r w:rsidR="0023048D" w:rsidRPr="005A1862">
        <w:t>megítélés</w:t>
      </w:r>
      <w:r w:rsidR="0023048D">
        <w:t>e</w:t>
      </w:r>
      <w:r w:rsidR="0023048D" w:rsidRPr="005A1862">
        <w:t xml:space="preserve"> </w:t>
      </w:r>
      <w:r w:rsidRPr="005A1862">
        <w:t>szerint a kutatást az engedélyben, illetve a kutatási tervben előírtaktól eltérő</w:t>
      </w:r>
      <w:r w:rsidR="00287D89">
        <w:t>en folytatják;</w:t>
      </w:r>
    </w:p>
    <w:p w14:paraId="1598F351" w14:textId="778895BA" w:rsidR="005A1862" w:rsidRDefault="005A1862" w:rsidP="00287D89">
      <w:pPr>
        <w:numPr>
          <w:ilvl w:val="0"/>
          <w:numId w:val="11"/>
        </w:numPr>
        <w:tabs>
          <w:tab w:val="clear" w:pos="720"/>
        </w:tabs>
        <w:spacing w:before="60"/>
        <w:ind w:left="879" w:hanging="170"/>
        <w:jc w:val="both"/>
      </w:pPr>
      <w:r>
        <w:t>a</w:t>
      </w:r>
      <w:r w:rsidRPr="005A1862">
        <w:t xml:space="preserve">z intézményben folyó kutatásban résztvevők érdekeinek védelméről az </w:t>
      </w:r>
      <w:r w:rsidR="00D151E4">
        <w:t>Bizottság</w:t>
      </w:r>
      <w:r w:rsidRPr="005A1862">
        <w:t xml:space="preserve"> elnöke által a </w:t>
      </w:r>
      <w:r w:rsidR="00D151E4">
        <w:t>Bizottság</w:t>
      </w:r>
      <w:r w:rsidR="00D151E4" w:rsidRPr="005A1862" w:rsidDel="00D151E4">
        <w:t xml:space="preserve"> </w:t>
      </w:r>
      <w:r w:rsidRPr="005A1862">
        <w:t xml:space="preserve">tagjai közül kijelölt független, a kutatásban részt nem vevő orvos gondoskodik. A kijelölt orvos folyamatosan figyelemmel kíséri a kutatás menetét, </w:t>
      </w:r>
      <w:r w:rsidRPr="005A1862">
        <w:lastRenderedPageBreak/>
        <w:t>továbbá rendszeres kapcsolatot tart a vizsgálatba bevont személyekkel, részükre tájékozt</w:t>
      </w:r>
      <w:r w:rsidR="00287D89">
        <w:t>atást, szakmai segítséget nyújt;</w:t>
      </w:r>
    </w:p>
    <w:p w14:paraId="608A0AD0" w14:textId="176B6594" w:rsidR="00EA3EA1" w:rsidRPr="005A1862" w:rsidRDefault="00F07E8C" w:rsidP="00287D89">
      <w:pPr>
        <w:numPr>
          <w:ilvl w:val="0"/>
          <w:numId w:val="11"/>
        </w:numPr>
        <w:tabs>
          <w:tab w:val="clear" w:pos="720"/>
        </w:tabs>
        <w:spacing w:before="60"/>
        <w:ind w:left="879" w:hanging="170"/>
        <w:jc w:val="both"/>
      </w:pPr>
      <w:r>
        <w:t>a</w:t>
      </w:r>
      <w:r w:rsidR="00EA3EA1" w:rsidRPr="00EA3EA1">
        <w:t xml:space="preserve">z engedélyező a kutatás időtartama alatt ellenőrzi, hogy a kutatást a szakmai szabályoknak, valamint az engedélyben és a kutatási tervben foglaltaknak megfelelően végzik-e. Az engedélyező </w:t>
      </w:r>
      <w:r w:rsidR="00287D89">
        <w:t>–</w:t>
      </w:r>
      <w:r w:rsidR="00EA3EA1" w:rsidRPr="00EA3EA1">
        <w:t xml:space="preserve"> a</w:t>
      </w:r>
      <w:r w:rsidR="00287D89">
        <w:t xml:space="preserve"> </w:t>
      </w:r>
      <w:r w:rsidR="00EA3EA1" w:rsidRPr="00EA3EA1">
        <w:t xml:space="preserve">feladatkörüket érintő szakkérdés felmerülése esetén </w:t>
      </w:r>
      <w:r w:rsidR="00287D89">
        <w:t>–</w:t>
      </w:r>
      <w:r w:rsidR="00EA3EA1" w:rsidRPr="00EA3EA1">
        <w:t xml:space="preserve"> bevon</w:t>
      </w:r>
      <w:r w:rsidR="00EA3EA1">
        <w:t>ja</w:t>
      </w:r>
      <w:r w:rsidR="00287D89">
        <w:t xml:space="preserve"> </w:t>
      </w:r>
      <w:r w:rsidR="00EA3EA1">
        <w:t xml:space="preserve">az etikai bizottságot vagy </w:t>
      </w:r>
      <w:r w:rsidR="0012589E">
        <w:t>a Bizottságot</w:t>
      </w:r>
      <w:r w:rsidR="00EA3EA1" w:rsidRPr="00EA3EA1">
        <w:t xml:space="preserve"> az ellenőrzés lefolytatá</w:t>
      </w:r>
      <w:r w:rsidR="00EA3EA1">
        <w:t xml:space="preserve">sába. Az etikai bizottság és a Bizottság </w:t>
      </w:r>
      <w:r w:rsidR="00EA3EA1" w:rsidRPr="00EA3EA1">
        <w:t>közreműködik az e</w:t>
      </w:r>
      <w:r w:rsidR="00287D89">
        <w:t>llenőrzés lefolytatásában;</w:t>
      </w:r>
    </w:p>
    <w:p w14:paraId="509C56E8" w14:textId="78DA395C" w:rsidR="0086743B" w:rsidRPr="0086743B" w:rsidRDefault="0086743B" w:rsidP="00287D89">
      <w:pPr>
        <w:numPr>
          <w:ilvl w:val="0"/>
          <w:numId w:val="11"/>
        </w:numPr>
        <w:tabs>
          <w:tab w:val="clear" w:pos="720"/>
        </w:tabs>
        <w:spacing w:before="60"/>
        <w:ind w:left="879" w:hanging="170"/>
        <w:jc w:val="both"/>
      </w:pPr>
      <w:r>
        <w:t>a</w:t>
      </w:r>
      <w:r w:rsidRPr="0086743B">
        <w:t xml:space="preserve"> kutatás vezetője a kutatás megkezdésétől kezdve minden év végén, valamint a kutatás befejezését követő 15 napon belül jelentést küld </w:t>
      </w:r>
      <w:r w:rsidR="008C038D" w:rsidRPr="008C038D">
        <w:t xml:space="preserve">a </w:t>
      </w:r>
      <w:r w:rsidR="0012589E">
        <w:t>Bizottságnak</w:t>
      </w:r>
      <w:r>
        <w:t xml:space="preserve">, melyben </w:t>
      </w:r>
      <w:r w:rsidRPr="0086743B">
        <w:t xml:space="preserve">beszámol a kutatás tapasztalatairól, a ténylegesen bevont betegek számáról, az előfordult nem kívánatos és súlyos nem kívánatos eseményekről. A kutatás akkor tekinthető befejezettnek, ha minden beteg </w:t>
      </w:r>
      <w:r w:rsidR="00287D89">
        <w:t>–</w:t>
      </w:r>
      <w:r w:rsidRPr="0086743B">
        <w:t xml:space="preserve"> kutatási</w:t>
      </w:r>
      <w:r w:rsidR="00287D89">
        <w:t xml:space="preserve"> </w:t>
      </w:r>
      <w:r w:rsidRPr="0086743B">
        <w:t xml:space="preserve">terv szerinti </w:t>
      </w:r>
      <w:r w:rsidR="00287D89">
        <w:t>–</w:t>
      </w:r>
      <w:r w:rsidRPr="0086743B">
        <w:t xml:space="preserve"> utolsó</w:t>
      </w:r>
      <w:r w:rsidR="00287D89">
        <w:t xml:space="preserve"> </w:t>
      </w:r>
      <w:r w:rsidRPr="0086743B">
        <w:t>észlelése megtörtént.</w:t>
      </w:r>
    </w:p>
    <w:p w14:paraId="5BD63164" w14:textId="41429679" w:rsidR="007319B5" w:rsidRPr="00287D89" w:rsidRDefault="00F558EB" w:rsidP="00287D89">
      <w:pPr>
        <w:pStyle w:val="Listaszerbekezds"/>
        <w:numPr>
          <w:ilvl w:val="1"/>
          <w:numId w:val="16"/>
        </w:numPr>
        <w:spacing w:before="60"/>
        <w:ind w:left="709" w:hanging="567"/>
        <w:jc w:val="both"/>
        <w:rPr>
          <w:szCs w:val="24"/>
        </w:rPr>
      </w:pPr>
      <w:bookmarkStart w:id="7" w:name="_Hlk31363499"/>
      <w:r w:rsidRPr="00287D89">
        <w:rPr>
          <w:szCs w:val="24"/>
        </w:rPr>
        <w:t>a</w:t>
      </w:r>
      <w:r w:rsidR="00C9211E" w:rsidRPr="00287D89">
        <w:rPr>
          <w:szCs w:val="24"/>
        </w:rPr>
        <w:t xml:space="preserve">z emberi felhasználásra kerülő </w:t>
      </w:r>
      <w:r w:rsidR="00C9211E" w:rsidRPr="00287D89">
        <w:rPr>
          <w:b/>
          <w:szCs w:val="24"/>
        </w:rPr>
        <w:t>vizsgálati készítmények klinikai vizsgálatáról</w:t>
      </w:r>
      <w:r w:rsidR="00C9211E" w:rsidRPr="00287D89">
        <w:rPr>
          <w:szCs w:val="24"/>
        </w:rPr>
        <w:t xml:space="preserve"> és a helyes klinikai gyakorlat alkalmazásáról </w:t>
      </w:r>
      <w:r w:rsidR="00C9211E" w:rsidRPr="00D71C7D">
        <w:rPr>
          <w:szCs w:val="24"/>
        </w:rPr>
        <w:t>szóló 35/2005. (VIII. 26.) EüM rendelet hatálya</w:t>
      </w:r>
      <w:r w:rsidR="00C9211E" w:rsidRPr="00287D89">
        <w:rPr>
          <w:szCs w:val="24"/>
        </w:rPr>
        <w:t xml:space="preserve"> alá </w:t>
      </w:r>
      <w:r w:rsidR="00287D89">
        <w:rPr>
          <w:szCs w:val="24"/>
        </w:rPr>
        <w:t>tartozó kutatások tekintetében:</w:t>
      </w:r>
    </w:p>
    <w:p w14:paraId="36BFADA5" w14:textId="1348CCF7" w:rsidR="0086743B" w:rsidRDefault="0086743B" w:rsidP="00287D89">
      <w:pPr>
        <w:numPr>
          <w:ilvl w:val="1"/>
          <w:numId w:val="5"/>
        </w:numPr>
        <w:spacing w:before="60"/>
        <w:ind w:left="879" w:hanging="170"/>
        <w:jc w:val="both"/>
      </w:pPr>
      <w:r w:rsidRPr="0086743B">
        <w:t>feladata annak ellenőrzése és figyelemmel kísérése, hogy az engedélyezett és etikai szempontból elfogadott kutatás megvalósítása során biztosítva vannak-e a személyi és tárgyi feltételek, és betartják-e a kutatási tervben foglalt előírásokat, etikai követelményeket, különös tekintettel</w:t>
      </w:r>
      <w:r w:rsidR="00287D89">
        <w:t xml:space="preserve"> a kutatásba bevontak védelmére;</w:t>
      </w:r>
    </w:p>
    <w:p w14:paraId="727565CF" w14:textId="72F12385" w:rsidR="00F558EB" w:rsidRDefault="00F558EB" w:rsidP="00287D89">
      <w:pPr>
        <w:numPr>
          <w:ilvl w:val="1"/>
          <w:numId w:val="5"/>
        </w:numPr>
        <w:spacing w:before="60"/>
        <w:ind w:left="879" w:hanging="170"/>
        <w:jc w:val="both"/>
      </w:pPr>
      <w:bookmarkStart w:id="8" w:name="pr112"/>
      <w:r>
        <w:t>a vizsgálati alanyok jogainak, biztonságának védelme érdekében figyelemmel kíséri a vizsgálati tervben előírtak végrehajtását, a hatósági engedélyben, illetve az ETT KFEB véleményében foglaltak helyszíni megvalósítását</w:t>
      </w:r>
      <w:r w:rsidR="00425636">
        <w:t>;</w:t>
      </w:r>
    </w:p>
    <w:p w14:paraId="1CCFB25C" w14:textId="77777777" w:rsidR="00F558EB" w:rsidRDefault="00A70193" w:rsidP="00287D89">
      <w:pPr>
        <w:numPr>
          <w:ilvl w:val="1"/>
          <w:numId w:val="5"/>
        </w:numPr>
        <w:spacing w:before="60"/>
        <w:ind w:left="879" w:hanging="170"/>
        <w:jc w:val="both"/>
      </w:pPr>
      <w:bookmarkStart w:id="9" w:name="pr183"/>
      <w:bookmarkEnd w:id="8"/>
      <w:r>
        <w:t>panasszal fordulhat az OGY</w:t>
      </w:r>
      <w:r w:rsidR="00537E30">
        <w:t>É</w:t>
      </w:r>
      <w:r>
        <w:t>I-h</w:t>
      </w:r>
      <w:r w:rsidR="00537E30">
        <w:t>e</w:t>
      </w:r>
      <w:r>
        <w:t>z, ha megítélése szerint a klinikai vizsgálatot az engedélyben, illetve a vizsgálati tervben előírtaktól eltérően folytatják</w:t>
      </w:r>
      <w:r w:rsidR="00B911DD">
        <w:t xml:space="preserve">; </w:t>
      </w:r>
      <w:r>
        <w:t>észrevételeit a vizsgálatvezetővel és a szolgáltató vezetőjével is közölheti, továbbá észrevételeit megküldheti az ETT KFEB-nek, amely indokolt esetben az OGY</w:t>
      </w:r>
      <w:r w:rsidR="00537E30">
        <w:t>É</w:t>
      </w:r>
      <w:r>
        <w:t>I-n</w:t>
      </w:r>
      <w:r w:rsidR="00537E30">
        <w:t>é</w:t>
      </w:r>
      <w:r>
        <w:t>l ellenőrzést kezdeményez</w:t>
      </w:r>
      <w:bookmarkEnd w:id="9"/>
      <w:r w:rsidR="00425636">
        <w:t xml:space="preserve">; </w:t>
      </w:r>
    </w:p>
    <w:p w14:paraId="66FA2625" w14:textId="3C041796" w:rsidR="00B911DD" w:rsidRDefault="00B911DD" w:rsidP="00287D89">
      <w:pPr>
        <w:numPr>
          <w:ilvl w:val="1"/>
          <w:numId w:val="5"/>
        </w:numPr>
        <w:spacing w:before="60"/>
        <w:ind w:left="879" w:hanging="170"/>
        <w:jc w:val="both"/>
      </w:pPr>
      <w:bookmarkStart w:id="10" w:name="pr198"/>
      <w:r>
        <w:t xml:space="preserve">a vizsgáló </w:t>
      </w:r>
      <w:r w:rsidR="00BE2E49" w:rsidRPr="00BE2E49">
        <w:t xml:space="preserve">az adott vizsgálati helyszínen </w:t>
      </w:r>
      <w:r w:rsidR="00BE2E49">
        <w:t xml:space="preserve">előforduló </w:t>
      </w:r>
      <w:r>
        <w:t>minden súlyos nemkívánatos eseményről haladéktalanul értesíti</w:t>
      </w:r>
      <w:r w:rsidR="00AD1F03">
        <w:t xml:space="preserve">, majd részletes írásbeli </w:t>
      </w:r>
      <w:r w:rsidR="00AD1F03" w:rsidRPr="004573DE">
        <w:t>jel</w:t>
      </w:r>
      <w:r w:rsidR="004573DE" w:rsidRPr="004573DE">
        <w:t>e</w:t>
      </w:r>
      <w:r w:rsidR="00AD1F03" w:rsidRPr="004573DE">
        <w:t>ntést</w:t>
      </w:r>
      <w:r w:rsidR="00AD1F03">
        <w:t xml:space="preserve"> küld</w:t>
      </w:r>
      <w:r>
        <w:t xml:space="preserve"> a Bizottság</w:t>
      </w:r>
      <w:r w:rsidR="00AD1F03">
        <w:t xml:space="preserve"> részére</w:t>
      </w:r>
      <w:r w:rsidR="00DC714C">
        <w:rPr>
          <w:rStyle w:val="Lbjegyzet-hivatkozs"/>
        </w:rPr>
        <w:footnoteReference w:id="1"/>
      </w:r>
      <w:r>
        <w:t>, kivéve azokat, amelyek a vizsgálati terv vagy a vizsgálók részére összeállított ismertető szerint nem minősülnek azonnal jelentendőknek</w:t>
      </w:r>
      <w:r w:rsidR="00616597">
        <w:t xml:space="preserve">, ezeket </w:t>
      </w:r>
      <w:r w:rsidR="00015605">
        <w:t xml:space="preserve">a </w:t>
      </w:r>
      <w:r w:rsidR="00892E93">
        <w:t xml:space="preserve">Bizottság </w:t>
      </w:r>
      <w:r w:rsidR="00425636">
        <w:t>figyelemmel kíséri;</w:t>
      </w:r>
    </w:p>
    <w:p w14:paraId="4CAC1FC3" w14:textId="64185854" w:rsidR="001325B6" w:rsidRDefault="00C35458" w:rsidP="00287D89">
      <w:pPr>
        <w:numPr>
          <w:ilvl w:val="1"/>
          <w:numId w:val="5"/>
        </w:numPr>
        <w:spacing w:before="60"/>
        <w:ind w:left="879" w:hanging="170"/>
        <w:jc w:val="both"/>
      </w:pPr>
      <w:r>
        <w:t>a</w:t>
      </w:r>
      <w:r w:rsidR="001325B6" w:rsidRPr="001325B6">
        <w:t xml:space="preserve"> vizsgálati alany bejelentett halála esetén a vizsgáló minden további igényelt tájékoztatást biztosít a megbízó és a</w:t>
      </w:r>
      <w:r w:rsidR="001325B6">
        <w:t xml:space="preserve"> Bizottság </w:t>
      </w:r>
      <w:r>
        <w:t>számára;</w:t>
      </w:r>
    </w:p>
    <w:p w14:paraId="13CEC28E" w14:textId="70CAD3C0" w:rsidR="00C9211E" w:rsidRDefault="00212CF7" w:rsidP="00287D89">
      <w:pPr>
        <w:numPr>
          <w:ilvl w:val="1"/>
          <w:numId w:val="5"/>
        </w:numPr>
        <w:spacing w:before="60"/>
        <w:ind w:left="879" w:hanging="170"/>
        <w:jc w:val="both"/>
      </w:pPr>
      <w:bookmarkStart w:id="11" w:name="pr111"/>
      <w:bookmarkStart w:id="12" w:name="_Hlk31377793"/>
      <w:bookmarkEnd w:id="10"/>
      <w:r>
        <w:t>befogadja azokat a klin</w:t>
      </w:r>
      <w:r w:rsidR="0086743B">
        <w:t>i</w:t>
      </w:r>
      <w:r>
        <w:t xml:space="preserve">kai vizsgálatokat, amelyeket olyan szolgáltató kíván végezni, amely az Eütv. </w:t>
      </w:r>
      <w:r w:rsidR="00425636">
        <w:t>értelmében</w:t>
      </w:r>
      <w:r>
        <w:t xml:space="preserve"> nem minősül egészségügyi intézménynek, abban az esetben, ha a vizsgálatot végezni kívánó</w:t>
      </w:r>
      <w:r w:rsidR="00425636">
        <w:t xml:space="preserve"> </w:t>
      </w:r>
      <w:r w:rsidR="0086743B">
        <w:t xml:space="preserve">egészségügyi </w:t>
      </w:r>
      <w:r w:rsidR="00425636">
        <w:t>szolgáltató székhelye</w:t>
      </w:r>
      <w:r>
        <w:t xml:space="preserve"> az </w:t>
      </w:r>
      <w:r w:rsidR="00D95E05">
        <w:t xml:space="preserve">Semmelweis Egyetem </w:t>
      </w:r>
      <w:r w:rsidR="0086743B">
        <w:t xml:space="preserve">sürgősségi ellátási területén </w:t>
      </w:r>
      <w:r w:rsidR="00F86646" w:rsidRPr="00F86646">
        <w:t>található</w:t>
      </w:r>
      <w:bookmarkEnd w:id="11"/>
      <w:r w:rsidR="00287D89">
        <w:t>;</w:t>
      </w:r>
    </w:p>
    <w:p w14:paraId="0612DD73" w14:textId="6E8AB5D3" w:rsidR="007B56FE" w:rsidRDefault="00287D89" w:rsidP="00287D89">
      <w:pPr>
        <w:numPr>
          <w:ilvl w:val="1"/>
          <w:numId w:val="5"/>
        </w:numPr>
        <w:spacing w:before="60"/>
        <w:ind w:left="879" w:hanging="170"/>
        <w:jc w:val="both"/>
      </w:pPr>
      <w:r>
        <w:t>a</w:t>
      </w:r>
      <w:r w:rsidR="00CD6029" w:rsidRPr="00CD6029">
        <w:t xml:space="preserve">z emberi felhasználásra kerülő vizsgálati készítmények klinikai vizsgálatáról és a helyes klinikai gyakorlat alkalmazásáról szóló 35/2005. (VIII. 26.) EüM rendelet hatálya alá tartozó </w:t>
      </w:r>
      <w:r w:rsidR="00D6390A" w:rsidRPr="00D6390A">
        <w:t>klinikai vizsgálatok</w:t>
      </w:r>
      <w:r w:rsidR="00CD6029" w:rsidRPr="00CD6029">
        <w:t xml:space="preserve"> tekintetében a </w:t>
      </w:r>
      <w:r w:rsidR="00892E93">
        <w:t>Bizottság</w:t>
      </w:r>
      <w:r w:rsidR="00CD6029" w:rsidRPr="00CD6029">
        <w:t xml:space="preserve"> engedélyt, véleményt nem ad ki.</w:t>
      </w:r>
      <w:bookmarkEnd w:id="12"/>
    </w:p>
    <w:bookmarkEnd w:id="7"/>
    <w:p w14:paraId="3F7D48B4" w14:textId="32D7C4AF" w:rsidR="0093379B" w:rsidRPr="00287D89" w:rsidRDefault="00604105" w:rsidP="00287D89">
      <w:pPr>
        <w:pStyle w:val="Listaszerbekezds"/>
        <w:numPr>
          <w:ilvl w:val="1"/>
          <w:numId w:val="16"/>
        </w:numPr>
        <w:spacing w:before="60"/>
        <w:ind w:left="709" w:hanging="567"/>
        <w:jc w:val="both"/>
        <w:rPr>
          <w:szCs w:val="24"/>
        </w:rPr>
      </w:pPr>
      <w:r w:rsidRPr="00287D89">
        <w:rPr>
          <w:szCs w:val="24"/>
        </w:rPr>
        <w:t xml:space="preserve">az </w:t>
      </w:r>
      <w:r w:rsidRPr="00287D89">
        <w:rPr>
          <w:b/>
          <w:szCs w:val="24"/>
        </w:rPr>
        <w:t>orvostechnikai eszközök klinikai vizsgálatáról</w:t>
      </w:r>
      <w:r w:rsidRPr="00287D89">
        <w:rPr>
          <w:szCs w:val="24"/>
        </w:rPr>
        <w:t xml:space="preserve"> szóló 33/2009. (X. 20.) EüM rendelet</w:t>
      </w:r>
      <w:r w:rsidR="00743709" w:rsidRPr="00287D89">
        <w:rPr>
          <w:szCs w:val="24"/>
        </w:rPr>
        <w:t xml:space="preserve"> </w:t>
      </w:r>
      <w:r w:rsidR="0093379B" w:rsidRPr="00D71C7D">
        <w:rPr>
          <w:szCs w:val="24"/>
        </w:rPr>
        <w:t>hatálya</w:t>
      </w:r>
      <w:r w:rsidR="0093379B" w:rsidRPr="00287D89">
        <w:rPr>
          <w:szCs w:val="24"/>
        </w:rPr>
        <w:t xml:space="preserve"> alá tartozó kutatások tekintetében:</w:t>
      </w:r>
    </w:p>
    <w:p w14:paraId="5FFF67A0" w14:textId="42CE5963" w:rsidR="0093379B" w:rsidRDefault="0093379B" w:rsidP="00287D89">
      <w:pPr>
        <w:numPr>
          <w:ilvl w:val="1"/>
          <w:numId w:val="5"/>
        </w:numPr>
        <w:spacing w:before="60"/>
        <w:ind w:left="879" w:hanging="170"/>
        <w:jc w:val="both"/>
      </w:pPr>
      <w:r>
        <w:t>a vizsgálati alanyok jogainak, biztonságának védelme érdekében figyelemmel kíséri a vizsgálati tervben előírtak végrehajtását, a</w:t>
      </w:r>
      <w:r w:rsidR="007B56FE">
        <w:t>z OGYÉI</w:t>
      </w:r>
      <w:r>
        <w:t xml:space="preserve"> hatósági engedély</w:t>
      </w:r>
      <w:r w:rsidR="007B56FE">
        <w:t>é</w:t>
      </w:r>
      <w:r>
        <w:t xml:space="preserve">ben, illetve az ETT </w:t>
      </w:r>
      <w:r w:rsidR="00743709">
        <w:t>TUKEB</w:t>
      </w:r>
      <w:r>
        <w:t xml:space="preserve"> </w:t>
      </w:r>
      <w:r w:rsidR="00333CAC">
        <w:t xml:space="preserve">szakhatósági állásfoglalásában </w:t>
      </w:r>
      <w:r>
        <w:t>foglaltak helyszíni megvalósítását;</w:t>
      </w:r>
    </w:p>
    <w:p w14:paraId="413CADC3" w14:textId="4EFFFB9A" w:rsidR="00743709" w:rsidRDefault="00224BB2" w:rsidP="00287D89">
      <w:pPr>
        <w:numPr>
          <w:ilvl w:val="1"/>
          <w:numId w:val="5"/>
        </w:numPr>
        <w:spacing w:before="60"/>
        <w:ind w:left="879" w:hanging="170"/>
        <w:jc w:val="both"/>
      </w:pPr>
      <w:r>
        <w:lastRenderedPageBreak/>
        <w:t>a</w:t>
      </w:r>
      <w:r w:rsidR="00743709" w:rsidRPr="00743709">
        <w:t xml:space="preserve"> megbízó, vagy a meghatalmazott képviselő, vagy a vizsgálatvezető (illetve az egészségügyi szolgáltatást nyújtó szerv vezetője), vagy </w:t>
      </w:r>
      <w:r w:rsidR="00743709">
        <w:t xml:space="preserve">a </w:t>
      </w:r>
      <w:r w:rsidR="00892E93">
        <w:t xml:space="preserve">Bizottság </w:t>
      </w:r>
      <w:r w:rsidR="00743709" w:rsidRPr="00743709">
        <w:t>haladéktalanul, de legfeljebb három napon belül köteles bejelenteni az engedélyező</w:t>
      </w:r>
      <w:r w:rsidR="007B56FE">
        <w:t xml:space="preserve"> OGYÉI</w:t>
      </w:r>
      <w:r w:rsidR="00743709" w:rsidRPr="00743709">
        <w:t xml:space="preserve"> részére a</w:t>
      </w:r>
      <w:r w:rsidR="007B56FE">
        <w:t>z</w:t>
      </w:r>
      <w:r w:rsidR="00743709" w:rsidRPr="00743709">
        <w:t xml:space="preserve"> klinikai vizsgálatra szánt eszközzel összefüggésben bekövetkezett váratlan eseménnyel, balesettel kapcsolatos adatot</w:t>
      </w:r>
      <w:r>
        <w:t>;</w:t>
      </w:r>
    </w:p>
    <w:p w14:paraId="7A1EF290" w14:textId="6A2E3AA0" w:rsidR="00D9434D" w:rsidRDefault="00D9434D" w:rsidP="00287D89">
      <w:pPr>
        <w:pStyle w:val="Listaszerbekezds"/>
        <w:numPr>
          <w:ilvl w:val="1"/>
          <w:numId w:val="5"/>
        </w:numPr>
        <w:spacing w:before="60"/>
        <w:ind w:left="879" w:hanging="170"/>
        <w:contextualSpacing w:val="0"/>
        <w:jc w:val="both"/>
      </w:pPr>
      <w:r w:rsidRPr="00D9434D">
        <w:t xml:space="preserve">befogadja azokat </w:t>
      </w:r>
      <w:r>
        <w:t xml:space="preserve">a </w:t>
      </w:r>
      <w:r w:rsidRPr="00D9434D">
        <w:t>klinikai vizsgálatra szánt orvostechnikai eszközökkel folytatott klinikai vizsgálatok</w:t>
      </w:r>
      <w:r>
        <w:t>at</w:t>
      </w:r>
      <w:r w:rsidRPr="00D9434D">
        <w:t>, amelyeket olyan szolgáltató kíván végezni, amely az Eütv. értelmében nem minősül egészségügyi intézménynek, abban az esetben, ha a vizsgálatot végezni kívánó egészségügyi szolgáltató székhelye a</w:t>
      </w:r>
      <w:r w:rsidR="00D95E05">
        <w:t xml:space="preserve"> Semmelweis Egyetem </w:t>
      </w:r>
      <w:r w:rsidRPr="00D9434D">
        <w:t>sürgőssé</w:t>
      </w:r>
      <w:r w:rsidR="00287D89">
        <w:t>gi ellátási területén található;</w:t>
      </w:r>
    </w:p>
    <w:p w14:paraId="7E0A8C10" w14:textId="66BFB92F" w:rsidR="00BF23C9" w:rsidRPr="00287D89" w:rsidRDefault="00287D89" w:rsidP="00937B6F">
      <w:pPr>
        <w:pStyle w:val="Listaszerbekezds"/>
        <w:numPr>
          <w:ilvl w:val="1"/>
          <w:numId w:val="5"/>
        </w:numPr>
        <w:spacing w:before="60"/>
        <w:ind w:left="879" w:hanging="170"/>
        <w:contextualSpacing w:val="0"/>
        <w:jc w:val="both"/>
      </w:pPr>
      <w:r>
        <w:t>a</w:t>
      </w:r>
      <w:r w:rsidR="00D6390A" w:rsidRPr="00D6390A">
        <w:t>z orvostechnikai eszközök klinikai vizsgálatáról szóló 33/2009. (X. 20.) EüM rendelet hatálya alá tartozó k</w:t>
      </w:r>
      <w:r w:rsidR="00D6390A">
        <w:t>linikai vizsgálatok</w:t>
      </w:r>
      <w:r w:rsidR="00D6390A" w:rsidRPr="00D6390A">
        <w:t xml:space="preserve"> tekintetében a </w:t>
      </w:r>
      <w:r w:rsidR="00892E93">
        <w:t>Bizottság</w:t>
      </w:r>
      <w:r w:rsidR="00D6390A" w:rsidRPr="00D6390A">
        <w:t xml:space="preserve"> engedélyt, véleményt nem ad ki</w:t>
      </w:r>
      <w:r w:rsidR="00D6390A">
        <w:t>.</w:t>
      </w:r>
    </w:p>
    <w:p w14:paraId="7DF2983F" w14:textId="3E97903A" w:rsidR="00390909" w:rsidRPr="00287D89" w:rsidRDefault="00BF23C9" w:rsidP="00287D89">
      <w:pPr>
        <w:spacing w:before="240"/>
        <w:jc w:val="both"/>
      </w:pPr>
      <w:r w:rsidRPr="00287D89">
        <w:rPr>
          <w:b/>
        </w:rPr>
        <w:t>5.</w:t>
      </w:r>
      <w:r w:rsidRPr="00287D89">
        <w:t xml:space="preserve"> A </w:t>
      </w:r>
      <w:r w:rsidR="00D95E05">
        <w:t xml:space="preserve">Semmelweis Egyetemen </w:t>
      </w:r>
      <w:r w:rsidRPr="00287D89">
        <w:t xml:space="preserve">az orvostudományi kutatások és klinikai vizsgálatok a </w:t>
      </w:r>
      <w:r w:rsidR="004252DA" w:rsidRPr="00287D89">
        <w:t>Bizottsághoz</w:t>
      </w:r>
      <w:r w:rsidR="000D1273" w:rsidRPr="00287D89">
        <w:t xml:space="preserve"> történő,</w:t>
      </w:r>
      <w:r w:rsidR="00E518B9" w:rsidRPr="00287D89">
        <w:t xml:space="preserve"> </w:t>
      </w:r>
      <w:r w:rsidRPr="00287D89">
        <w:t xml:space="preserve">a </w:t>
      </w:r>
      <w:r w:rsidR="00F839A5" w:rsidRPr="00287D89">
        <w:t xml:space="preserve">jogszabályban </w:t>
      </w:r>
      <w:r w:rsidR="00E518B9" w:rsidRPr="00287D89">
        <w:t>előírt</w:t>
      </w:r>
      <w:r w:rsidR="000D1273" w:rsidRPr="00287D89">
        <w:t>, kötelező</w:t>
      </w:r>
      <w:r w:rsidRPr="00287D89">
        <w:t xml:space="preserve"> bejelentés</w:t>
      </w:r>
      <w:r w:rsidR="000D1273" w:rsidRPr="00287D89">
        <w:t xml:space="preserve"> </w:t>
      </w:r>
      <w:r w:rsidRPr="00287D89">
        <w:t>után kezdhetők meg.</w:t>
      </w:r>
    </w:p>
    <w:p w14:paraId="1756A881" w14:textId="5B253785" w:rsidR="00390909" w:rsidRPr="00287D89" w:rsidRDefault="00390909" w:rsidP="00287D89">
      <w:pPr>
        <w:spacing w:before="240"/>
        <w:jc w:val="both"/>
      </w:pPr>
      <w:bookmarkStart w:id="13" w:name="_Hlk31378059"/>
      <w:r w:rsidRPr="00287D89">
        <w:rPr>
          <w:b/>
          <w:bCs/>
        </w:rPr>
        <w:t>6.</w:t>
      </w:r>
      <w:r w:rsidRPr="00287D89">
        <w:t xml:space="preserve"> A</w:t>
      </w:r>
      <w:r w:rsidRPr="00287D89">
        <w:rPr>
          <w:szCs w:val="24"/>
        </w:rPr>
        <w:t xml:space="preserve">z emberen végzett </w:t>
      </w:r>
      <w:r w:rsidRPr="00287D89">
        <w:rPr>
          <w:b/>
          <w:bCs/>
          <w:szCs w:val="24"/>
        </w:rPr>
        <w:t>orvostudományi</w:t>
      </w:r>
      <w:r w:rsidRPr="00287D89">
        <w:rPr>
          <w:szCs w:val="24"/>
        </w:rPr>
        <w:t xml:space="preserve"> kutatásokról szóló 23/2002.(V.9.) EüM rendelet hatálya alá tartozó kutatások tekintetében</w:t>
      </w:r>
      <w:r w:rsidRPr="00287D89">
        <w:t xml:space="preserve"> kutatás vezetője a kutatás megkezdését megelőzően benyújtja </w:t>
      </w:r>
    </w:p>
    <w:p w14:paraId="728B1D4D" w14:textId="77777777" w:rsidR="00390909" w:rsidRPr="00287D89" w:rsidRDefault="00390909" w:rsidP="00390909">
      <w:pPr>
        <w:numPr>
          <w:ilvl w:val="1"/>
          <w:numId w:val="9"/>
        </w:numPr>
        <w:tabs>
          <w:tab w:val="num" w:pos="709"/>
        </w:tabs>
        <w:ind w:left="993" w:hanging="284"/>
        <w:jc w:val="both"/>
      </w:pPr>
      <w:r w:rsidRPr="00287D89">
        <w:t>a kutatási engedélyt,</w:t>
      </w:r>
    </w:p>
    <w:p w14:paraId="5DEFF4E7" w14:textId="77777777" w:rsidR="00390909" w:rsidRPr="00287D89" w:rsidRDefault="00390909" w:rsidP="00390909">
      <w:pPr>
        <w:numPr>
          <w:ilvl w:val="1"/>
          <w:numId w:val="9"/>
        </w:numPr>
        <w:tabs>
          <w:tab w:val="num" w:pos="709"/>
        </w:tabs>
        <w:ind w:left="993" w:hanging="284"/>
        <w:jc w:val="both"/>
      </w:pPr>
      <w:r w:rsidRPr="00287D89">
        <w:t xml:space="preserve">a magyar nyelvű kutatási tervet. </w:t>
      </w:r>
    </w:p>
    <w:p w14:paraId="590FC2FB" w14:textId="45887DC5" w:rsidR="00BD5520" w:rsidRPr="00287D89" w:rsidRDefault="00BD5520" w:rsidP="00287D89">
      <w:pPr>
        <w:spacing w:before="120"/>
        <w:jc w:val="both"/>
      </w:pPr>
      <w:r w:rsidRPr="00287D89">
        <w:t xml:space="preserve">Az emberi felhasználásra kerülő </w:t>
      </w:r>
      <w:r w:rsidRPr="00287D89">
        <w:rPr>
          <w:b/>
          <w:bCs/>
        </w:rPr>
        <w:t>vizsgálati készítmények</w:t>
      </w:r>
      <w:r w:rsidRPr="00287D89">
        <w:t xml:space="preserve"> klinikai vizsgálatáról és a helyes klinikai gyakorlat alkalmazásáról </w:t>
      </w:r>
      <w:r w:rsidRPr="00287D89">
        <w:rPr>
          <w:szCs w:val="24"/>
        </w:rPr>
        <w:t>szóló 35/2005. (VIII. 26.) EüM rendelet hatálya</w:t>
      </w:r>
      <w:r w:rsidRPr="00287D89">
        <w:t xml:space="preserve"> alá tartozó kutatások tekintetében a megbízó a vizsgálat megkezdését megelőzően benyújtja az </w:t>
      </w:r>
    </w:p>
    <w:p w14:paraId="4CB8070D" w14:textId="2FAA88AF" w:rsidR="00BD5520" w:rsidRPr="00287D89" w:rsidRDefault="00BD5520" w:rsidP="00BD5520">
      <w:pPr>
        <w:numPr>
          <w:ilvl w:val="1"/>
          <w:numId w:val="9"/>
        </w:numPr>
        <w:tabs>
          <w:tab w:val="num" w:pos="709"/>
        </w:tabs>
        <w:ind w:left="993" w:hanging="284"/>
        <w:jc w:val="both"/>
      </w:pPr>
      <w:r w:rsidRPr="00287D89">
        <w:t>OGYÉI engedélyt</w:t>
      </w:r>
      <w:r w:rsidR="00680E62">
        <w:t>,</w:t>
      </w:r>
    </w:p>
    <w:p w14:paraId="4AF35ED4" w14:textId="77777777" w:rsidR="00BD5520" w:rsidRPr="00287D89" w:rsidRDefault="00BD5520" w:rsidP="00BD5520">
      <w:pPr>
        <w:numPr>
          <w:ilvl w:val="1"/>
          <w:numId w:val="9"/>
        </w:numPr>
        <w:tabs>
          <w:tab w:val="num" w:pos="993"/>
        </w:tabs>
        <w:ind w:left="993" w:hanging="284"/>
        <w:jc w:val="both"/>
      </w:pPr>
      <w:r w:rsidRPr="00287D89">
        <w:t>a magyar nyelvű protokoll összefoglalót.</w:t>
      </w:r>
    </w:p>
    <w:bookmarkEnd w:id="13"/>
    <w:p w14:paraId="6E20E05E" w14:textId="32B08F66" w:rsidR="00BD5520" w:rsidRPr="00287D89" w:rsidRDefault="00BD5520" w:rsidP="00287D89">
      <w:pPr>
        <w:spacing w:before="120"/>
        <w:jc w:val="both"/>
      </w:pPr>
      <w:r w:rsidRPr="00287D89">
        <w:t xml:space="preserve">Az </w:t>
      </w:r>
      <w:r w:rsidRPr="00287D89">
        <w:rPr>
          <w:b/>
          <w:bCs/>
        </w:rPr>
        <w:t>orvostechnikai eszközök</w:t>
      </w:r>
      <w:r w:rsidRPr="00287D89">
        <w:t xml:space="preserve"> klinikai vizsgálatáról szóló 33/2009. (X. 20.) EüM rendelet hatálya alá tartozó kutatások tekintetében a megbízó a vizsgálat megkezdését megelőzően benyújtja az</w:t>
      </w:r>
    </w:p>
    <w:p w14:paraId="7E4C5814" w14:textId="79761381" w:rsidR="00BD5520" w:rsidRPr="00287D89" w:rsidRDefault="00BD5520" w:rsidP="00BD5520">
      <w:pPr>
        <w:numPr>
          <w:ilvl w:val="1"/>
          <w:numId w:val="9"/>
        </w:numPr>
        <w:tabs>
          <w:tab w:val="num" w:pos="709"/>
        </w:tabs>
        <w:ind w:left="993" w:hanging="284"/>
        <w:jc w:val="both"/>
      </w:pPr>
      <w:r w:rsidRPr="00287D89">
        <w:t>OGYÉI engedélyt</w:t>
      </w:r>
      <w:r w:rsidR="00680E62">
        <w:t>,</w:t>
      </w:r>
    </w:p>
    <w:p w14:paraId="51DBE0B0" w14:textId="77777777" w:rsidR="00BD5520" w:rsidRPr="00287D89" w:rsidRDefault="00BD5520" w:rsidP="00BD5520">
      <w:pPr>
        <w:numPr>
          <w:ilvl w:val="1"/>
          <w:numId w:val="9"/>
        </w:numPr>
        <w:tabs>
          <w:tab w:val="num" w:pos="993"/>
        </w:tabs>
        <w:ind w:left="993" w:hanging="284"/>
        <w:jc w:val="both"/>
      </w:pPr>
      <w:r w:rsidRPr="00287D89">
        <w:t>a vizsgálati terv magyar nyelvű összefoglalóját.</w:t>
      </w:r>
    </w:p>
    <w:p w14:paraId="4417F7F5" w14:textId="3EFC2BC7" w:rsidR="00417CEE" w:rsidRPr="00287D89" w:rsidRDefault="00417CEE" w:rsidP="00287D89">
      <w:pPr>
        <w:pStyle w:val="Cmsor1"/>
        <w:spacing w:before="240" w:line="240" w:lineRule="auto"/>
        <w:jc w:val="both"/>
        <w:rPr>
          <w:rFonts w:ascii="Times New Roman" w:hAnsi="Times New Roman"/>
          <w:snapToGrid w:val="0"/>
        </w:rPr>
      </w:pPr>
      <w:r w:rsidRPr="00287D89">
        <w:rPr>
          <w:rFonts w:ascii="Times New Roman" w:hAnsi="Times New Roman"/>
          <w:bCs/>
          <w:szCs w:val="24"/>
        </w:rPr>
        <w:t>7.</w:t>
      </w:r>
      <w:r w:rsidRPr="00287D89">
        <w:rPr>
          <w:rFonts w:ascii="Times New Roman" w:hAnsi="Times New Roman"/>
          <w:sz w:val="28"/>
        </w:rPr>
        <w:t xml:space="preserve"> </w:t>
      </w:r>
      <w:r w:rsidRPr="00287D89">
        <w:rPr>
          <w:rFonts w:ascii="Times New Roman" w:hAnsi="Times New Roman"/>
          <w:b w:val="0"/>
          <w:snapToGrid w:val="0"/>
        </w:rPr>
        <w:t>A</w:t>
      </w:r>
      <w:r w:rsidRPr="00287D89">
        <w:rPr>
          <w:rFonts w:ascii="Times New Roman" w:hAnsi="Times New Roman"/>
          <w:b w:val="0"/>
        </w:rPr>
        <w:t xml:space="preserve"> </w:t>
      </w:r>
      <w:r w:rsidR="001B15AC" w:rsidRPr="00287D89">
        <w:rPr>
          <w:rFonts w:ascii="Times New Roman" w:hAnsi="Times New Roman"/>
          <w:b w:val="0"/>
        </w:rPr>
        <w:t>Bizottság</w:t>
      </w:r>
      <w:r w:rsidRPr="00287D89">
        <w:rPr>
          <w:rFonts w:ascii="Times New Roman" w:hAnsi="Times New Roman"/>
          <w:b w:val="0"/>
        </w:rPr>
        <w:t xml:space="preserve"> mint</w:t>
      </w:r>
      <w:r w:rsidRPr="00287D89">
        <w:rPr>
          <w:rFonts w:ascii="Times New Roman" w:hAnsi="Times New Roman"/>
          <w:b w:val="0"/>
          <w:snapToGrid w:val="0"/>
        </w:rPr>
        <w:t xml:space="preserve"> etikai bizottság feladatai közé tartozik, hogy </w:t>
      </w:r>
      <w:r w:rsidRPr="00287D89">
        <w:rPr>
          <w:rFonts w:ascii="Times New Roman" w:hAnsi="Times New Roman"/>
          <w:snapToGrid w:val="0"/>
        </w:rPr>
        <w:t>utánkövetési eljárást</w:t>
      </w:r>
      <w:r w:rsidRPr="00287D89">
        <w:rPr>
          <w:rFonts w:ascii="Times New Roman" w:hAnsi="Times New Roman"/>
          <w:b w:val="0"/>
          <w:snapToGrid w:val="0"/>
        </w:rPr>
        <w:t xml:space="preserve"> vezessen be valamennyi jóváhagyott vizsgálat előrehaladásának monitorozására a kutatás elkezdésétől kezdve annak befejeződéséig.</w:t>
      </w:r>
    </w:p>
    <w:p w14:paraId="4B0A9480" w14:textId="32CE0F1B" w:rsidR="00417CEE" w:rsidRPr="00287D89" w:rsidRDefault="00417CEE" w:rsidP="00287D89">
      <w:pPr>
        <w:widowControl w:val="0"/>
        <w:numPr>
          <w:ilvl w:val="0"/>
          <w:numId w:val="13"/>
        </w:numPr>
        <w:tabs>
          <w:tab w:val="clear" w:pos="360"/>
        </w:tabs>
        <w:spacing w:before="60"/>
        <w:ind w:left="567"/>
        <w:jc w:val="both"/>
        <w:rPr>
          <w:snapToGrid w:val="0"/>
        </w:rPr>
      </w:pPr>
      <w:r w:rsidRPr="00287D89">
        <w:rPr>
          <w:snapToGrid w:val="0"/>
        </w:rPr>
        <w:t xml:space="preserve">Az utánkövetési eljárás kapcsolattartó személyei: a </w:t>
      </w:r>
      <w:r w:rsidR="001B15AC" w:rsidRPr="00287D89">
        <w:rPr>
          <w:snapToGrid w:val="0"/>
        </w:rPr>
        <w:t xml:space="preserve">Bizottság </w:t>
      </w:r>
      <w:r w:rsidRPr="00287D89">
        <w:rPr>
          <w:snapToGrid w:val="0"/>
        </w:rPr>
        <w:t>elnöke, titkára és az eredeti kérelmező.</w:t>
      </w:r>
    </w:p>
    <w:p w14:paraId="5CB00096" w14:textId="36B4B0F8" w:rsidR="00417CEE" w:rsidRPr="00287D89" w:rsidRDefault="00417CEE" w:rsidP="00287D89">
      <w:pPr>
        <w:widowControl w:val="0"/>
        <w:numPr>
          <w:ilvl w:val="0"/>
          <w:numId w:val="13"/>
        </w:numPr>
        <w:tabs>
          <w:tab w:val="clear" w:pos="360"/>
        </w:tabs>
        <w:spacing w:before="60"/>
        <w:ind w:left="567"/>
        <w:jc w:val="both"/>
        <w:rPr>
          <w:snapToGrid w:val="0"/>
        </w:rPr>
      </w:pPr>
      <w:r w:rsidRPr="00287D89">
        <w:rPr>
          <w:snapToGrid w:val="0"/>
        </w:rPr>
        <w:t xml:space="preserve">A </w:t>
      </w:r>
      <w:r w:rsidR="001B15AC" w:rsidRPr="00287D89">
        <w:rPr>
          <w:snapToGrid w:val="0"/>
        </w:rPr>
        <w:t xml:space="preserve">Bizottság </w:t>
      </w:r>
      <w:r w:rsidRPr="00287D89">
        <w:rPr>
          <w:snapToGrid w:val="0"/>
        </w:rPr>
        <w:t>az engedély kiadásakor meghatározza a vizsgálat közben és/vagy a vizsgálat lezárásakor kért jelentés időpontjait.</w:t>
      </w:r>
    </w:p>
    <w:p w14:paraId="6FC46270" w14:textId="7FD1ADB0" w:rsidR="00417CEE" w:rsidRPr="00287D89" w:rsidRDefault="00417CEE" w:rsidP="00287D89">
      <w:pPr>
        <w:widowControl w:val="0"/>
        <w:numPr>
          <w:ilvl w:val="0"/>
          <w:numId w:val="13"/>
        </w:numPr>
        <w:tabs>
          <w:tab w:val="clear" w:pos="360"/>
        </w:tabs>
        <w:spacing w:before="60"/>
        <w:ind w:left="567"/>
        <w:jc w:val="both"/>
        <w:rPr>
          <w:snapToGrid w:val="0"/>
        </w:rPr>
      </w:pPr>
      <w:r w:rsidRPr="00287D89">
        <w:rPr>
          <w:snapToGrid w:val="0"/>
        </w:rPr>
        <w:t xml:space="preserve">A </w:t>
      </w:r>
      <w:r w:rsidR="001B15AC" w:rsidRPr="00287D89">
        <w:rPr>
          <w:snapToGrid w:val="0"/>
        </w:rPr>
        <w:t xml:space="preserve">Bizottságnak </w:t>
      </w:r>
      <w:r w:rsidRPr="00287D89">
        <w:rPr>
          <w:snapToGrid w:val="0"/>
        </w:rPr>
        <w:t>megküldött jelentést a vizsgálatvezető mellett a vizsgálat menetét felügyelő, független orvosnak is aláírásával kell ellátnia egyetértése esetén.</w:t>
      </w:r>
    </w:p>
    <w:p w14:paraId="3C63D4C4" w14:textId="22F46F42" w:rsidR="00417CEE" w:rsidRPr="00287D89" w:rsidRDefault="00417CEE" w:rsidP="00287D89">
      <w:pPr>
        <w:widowControl w:val="0"/>
        <w:numPr>
          <w:ilvl w:val="0"/>
          <w:numId w:val="13"/>
        </w:numPr>
        <w:tabs>
          <w:tab w:val="clear" w:pos="360"/>
        </w:tabs>
        <w:spacing w:before="60"/>
        <w:ind w:left="567"/>
        <w:jc w:val="both"/>
        <w:rPr>
          <w:snapToGrid w:val="0"/>
        </w:rPr>
      </w:pPr>
      <w:r w:rsidRPr="00287D89">
        <w:rPr>
          <w:snapToGrid w:val="0"/>
        </w:rPr>
        <w:t xml:space="preserve">Az engedélyezett vizsgálat során bekövetkező nem várt eseményt a </w:t>
      </w:r>
      <w:r w:rsidR="001B15AC" w:rsidRPr="00287D89">
        <w:rPr>
          <w:snapToGrid w:val="0"/>
        </w:rPr>
        <w:t>Bizottságnak</w:t>
      </w:r>
      <w:r w:rsidRPr="00287D89">
        <w:rPr>
          <w:snapToGrid w:val="0"/>
        </w:rPr>
        <w:t xml:space="preserve"> jelenteni szükséges. Hasonló módon az eredetileg engedélyezett protokolltól való eltérést </w:t>
      </w:r>
      <w:r w:rsidR="00896538">
        <w:rPr>
          <w:snapToGrid w:val="0"/>
        </w:rPr>
        <w:t>–</w:t>
      </w:r>
      <w:r w:rsidRPr="00287D89">
        <w:rPr>
          <w:snapToGrid w:val="0"/>
        </w:rPr>
        <w:t xml:space="preserve"> beleértve</w:t>
      </w:r>
      <w:r w:rsidR="00896538">
        <w:rPr>
          <w:snapToGrid w:val="0"/>
        </w:rPr>
        <w:t xml:space="preserve"> </w:t>
      </w:r>
      <w:r w:rsidRPr="00287D89">
        <w:rPr>
          <w:snapToGrid w:val="0"/>
        </w:rPr>
        <w:t xml:space="preserve">annak módosítását </w:t>
      </w:r>
      <w:r w:rsidR="00896538">
        <w:rPr>
          <w:snapToGrid w:val="0"/>
        </w:rPr>
        <w:t>–</w:t>
      </w:r>
      <w:r w:rsidRPr="00287D89">
        <w:rPr>
          <w:snapToGrid w:val="0"/>
        </w:rPr>
        <w:t xml:space="preserve"> a</w:t>
      </w:r>
      <w:r w:rsidR="00896538">
        <w:rPr>
          <w:snapToGrid w:val="0"/>
        </w:rPr>
        <w:t xml:space="preserve"> </w:t>
      </w:r>
      <w:r w:rsidRPr="00287D89">
        <w:rPr>
          <w:snapToGrid w:val="0"/>
        </w:rPr>
        <w:t xml:space="preserve">vizsgáló jelezni köteles a </w:t>
      </w:r>
      <w:r w:rsidR="001B15AC" w:rsidRPr="00287D89">
        <w:rPr>
          <w:snapToGrid w:val="0"/>
        </w:rPr>
        <w:t>Bizottságnak.</w:t>
      </w:r>
    </w:p>
    <w:p w14:paraId="05D516C9" w14:textId="72EF13C3" w:rsidR="00417CEE" w:rsidRPr="00287D89" w:rsidRDefault="00417CEE" w:rsidP="00287D89">
      <w:pPr>
        <w:widowControl w:val="0"/>
        <w:numPr>
          <w:ilvl w:val="0"/>
          <w:numId w:val="13"/>
        </w:numPr>
        <w:tabs>
          <w:tab w:val="clear" w:pos="360"/>
        </w:tabs>
        <w:spacing w:before="60"/>
        <w:ind w:left="567"/>
        <w:jc w:val="both"/>
        <w:rPr>
          <w:snapToGrid w:val="0"/>
        </w:rPr>
      </w:pPr>
      <w:r w:rsidRPr="00287D89">
        <w:rPr>
          <w:snapToGrid w:val="0"/>
        </w:rPr>
        <w:t>A visszajelzés</w:t>
      </w:r>
      <w:r w:rsidR="001B15AC" w:rsidRPr="00287D89">
        <w:rPr>
          <w:snapToGrid w:val="0"/>
        </w:rPr>
        <w:t>,</w:t>
      </w:r>
      <w:r w:rsidRPr="00287D89">
        <w:rPr>
          <w:snapToGrid w:val="0"/>
        </w:rPr>
        <w:t xml:space="preserve"> ill</w:t>
      </w:r>
      <w:r w:rsidR="00896538">
        <w:rPr>
          <w:snapToGrid w:val="0"/>
        </w:rPr>
        <w:t>etve</w:t>
      </w:r>
      <w:r w:rsidRPr="00287D89">
        <w:rPr>
          <w:snapToGrid w:val="0"/>
        </w:rPr>
        <w:t xml:space="preserve"> a rövid lezáró értékelés elmulasztása, felhívásra sem történő elkészítése olyan tény, mely szükségessé teheti az ellenőrzés személyes formáját, valamint lehetővé teszi, hogy a </w:t>
      </w:r>
      <w:r w:rsidR="001B15AC" w:rsidRPr="00287D89">
        <w:rPr>
          <w:snapToGrid w:val="0"/>
        </w:rPr>
        <w:t>Bizottság</w:t>
      </w:r>
      <w:r w:rsidRPr="00287D89">
        <w:rPr>
          <w:snapToGrid w:val="0"/>
        </w:rPr>
        <w:t>a vizsgáló következő kérelmének engedélyezését a felülvizsgálat elvégzéséig felfüggessze.</w:t>
      </w:r>
    </w:p>
    <w:p w14:paraId="30565B20" w14:textId="77777777" w:rsidR="00D95E05" w:rsidRDefault="00417CEE" w:rsidP="00D95E05">
      <w:pPr>
        <w:jc w:val="both"/>
      </w:pPr>
      <w:r w:rsidRPr="00287D89">
        <w:rPr>
          <w:b/>
        </w:rPr>
        <w:t>8</w:t>
      </w:r>
      <w:r w:rsidR="00B62764" w:rsidRPr="00287D89">
        <w:rPr>
          <w:b/>
        </w:rPr>
        <w:t>.</w:t>
      </w:r>
      <w:r w:rsidR="002F2858" w:rsidRPr="00287D89">
        <w:t xml:space="preserve"> A </w:t>
      </w:r>
      <w:r w:rsidR="00A06906" w:rsidRPr="00287D89">
        <w:t>B</w:t>
      </w:r>
      <w:r w:rsidR="002F2858" w:rsidRPr="00287D89">
        <w:t xml:space="preserve">izottság létszáma </w:t>
      </w:r>
      <w:r w:rsidR="00D95E05" w:rsidRPr="00CB6253">
        <w:t>A bizottság létszáma 17 fő, ebből 12 fő orvos, 2 fő jogász, 1 fő szakdolgozó, 2 fő laikus.</w:t>
      </w:r>
    </w:p>
    <w:p w14:paraId="7BF29D02" w14:textId="77777777" w:rsidR="00D95E05" w:rsidRDefault="00D95E05" w:rsidP="00D95E05">
      <w:pPr>
        <w:jc w:val="both"/>
      </w:pPr>
    </w:p>
    <w:p w14:paraId="4722E0CE" w14:textId="1AB1C16E" w:rsidR="00B62764" w:rsidRPr="00287D89" w:rsidRDefault="00B62764" w:rsidP="00D95E05">
      <w:pPr>
        <w:spacing w:before="240"/>
        <w:jc w:val="both"/>
      </w:pPr>
      <w:r w:rsidRPr="00287D89">
        <w:t>A</w:t>
      </w:r>
      <w:r w:rsidR="00615ABC" w:rsidRPr="00287D89">
        <w:t xml:space="preserve"> </w:t>
      </w:r>
      <w:r w:rsidR="00A84D04" w:rsidRPr="00287D89">
        <w:t>Bizottság</w:t>
      </w:r>
      <w:r w:rsidR="00A84D04" w:rsidRPr="00287D89" w:rsidDel="00A84D04">
        <w:t xml:space="preserve"> </w:t>
      </w:r>
      <w:r w:rsidRPr="00287D89">
        <w:t xml:space="preserve">tisztségviselői az elnök és a titkár. </w:t>
      </w:r>
    </w:p>
    <w:p w14:paraId="2F5435ED" w14:textId="0ECEB9EC" w:rsidR="004252DA" w:rsidRPr="00287D89" w:rsidRDefault="00B62764" w:rsidP="00896538">
      <w:pPr>
        <w:spacing w:before="120" w:after="60"/>
        <w:jc w:val="both"/>
      </w:pPr>
      <w:r w:rsidRPr="00287D89">
        <w:t xml:space="preserve">A </w:t>
      </w:r>
      <w:r w:rsidR="00A84D04" w:rsidRPr="00287D89">
        <w:t>Bizottság</w:t>
      </w:r>
      <w:r w:rsidR="00A84D04" w:rsidRPr="00287D89" w:rsidDel="00A84D04">
        <w:t xml:space="preserve"> </w:t>
      </w:r>
      <w:r w:rsidR="00D95E05">
        <w:t>elnökét, titkárát és tagjait a Semmelweis Egyetem rektora nevezi ki 4 éves időtartamra, a megbízatás annak lejárta előtt meghosszabbítható</w:t>
      </w:r>
      <w:r w:rsidRPr="00287D89">
        <w:t xml:space="preserve">. </w:t>
      </w:r>
      <w:r w:rsidR="004252DA" w:rsidRPr="00287D89">
        <w:t>A Bizottságot úgy kell összeállítani, hogy személyi összetétele megfeleljen az egészségügyről szóló 1997. évi CLIV törvény 159. §-ának (6) bekezdése előírásainak.</w:t>
      </w:r>
    </w:p>
    <w:p w14:paraId="22D67A7C" w14:textId="0DCF786C" w:rsidR="00B62764" w:rsidRPr="00287D89" w:rsidRDefault="00015605" w:rsidP="00896538">
      <w:pPr>
        <w:spacing w:before="120"/>
        <w:jc w:val="both"/>
      </w:pPr>
      <w:r w:rsidRPr="00287D89">
        <w:t xml:space="preserve">A </w:t>
      </w:r>
      <w:r w:rsidR="002713C0" w:rsidRPr="00287D89">
        <w:t>Bizottság</w:t>
      </w:r>
      <w:r w:rsidR="002713C0" w:rsidRPr="00287D89" w:rsidDel="00A84D04">
        <w:t xml:space="preserve"> </w:t>
      </w:r>
      <w:r w:rsidR="00B62764" w:rsidRPr="00287D89">
        <w:t>elnöke felelős a bizottság működésért, vezeti a bizottsági üléseket, képviseli a bizottságot.</w:t>
      </w:r>
      <w:r w:rsidR="006063CB" w:rsidRPr="00287D89">
        <w:t xml:space="preserve"> A </w:t>
      </w:r>
      <w:r w:rsidR="002713C0" w:rsidRPr="00287D89">
        <w:t>Bizottság</w:t>
      </w:r>
      <w:r w:rsidR="002713C0" w:rsidRPr="00287D89" w:rsidDel="00A84D04">
        <w:t xml:space="preserve"> </w:t>
      </w:r>
      <w:r w:rsidR="006063CB" w:rsidRPr="00287D89">
        <w:t>elnöke hivatalból, megbízatása időtartamára tagja az ETT Regionális Kutatásetikai Bizottságok Elnökeinek Testületének (a továbbiakban: ETT REKEBET).</w:t>
      </w:r>
      <w:r w:rsidR="00235E9D" w:rsidRPr="00287D89">
        <w:t xml:space="preserve"> A </w:t>
      </w:r>
      <w:r w:rsidR="002713C0" w:rsidRPr="00287D89">
        <w:t>Bizottság</w:t>
      </w:r>
      <w:r w:rsidR="002713C0" w:rsidRPr="00287D89" w:rsidDel="00A84D04">
        <w:t xml:space="preserve"> </w:t>
      </w:r>
      <w:r w:rsidR="00235E9D" w:rsidRPr="00287D89">
        <w:t xml:space="preserve">elnökét képviseleti joggal helyettesíti a </w:t>
      </w:r>
      <w:r w:rsidR="002713C0" w:rsidRPr="00287D89">
        <w:t>Bizottság</w:t>
      </w:r>
      <w:r w:rsidR="002713C0" w:rsidRPr="00287D89" w:rsidDel="00A84D04">
        <w:t xml:space="preserve"> </w:t>
      </w:r>
      <w:r w:rsidR="00235E9D" w:rsidRPr="00287D89">
        <w:t>titkára.</w:t>
      </w:r>
    </w:p>
    <w:p w14:paraId="63189940" w14:textId="77777777" w:rsidR="00684E8B" w:rsidRPr="00287D89" w:rsidRDefault="00684E8B" w:rsidP="00896538">
      <w:pPr>
        <w:spacing w:before="120"/>
        <w:jc w:val="both"/>
      </w:pPr>
      <w:r w:rsidRPr="00287D89">
        <w:t>A Bizottság határozatait az ETT által rendelkezésére bocsátott adatkezelő rendszerben tartja nyilván, és ennek segítségével havonta küld az ETT REKEBET számára elektronikus összesítést az ülésein tárgyalt beadványokról. Ezen kívül, a Bizottság évente beszámol munkájáról az ETT REKEBET-nek.</w:t>
      </w:r>
    </w:p>
    <w:p w14:paraId="31985D24" w14:textId="4390E3FB" w:rsidR="00E356BB" w:rsidRPr="00287D89" w:rsidRDefault="0086743B" w:rsidP="00896538">
      <w:pPr>
        <w:spacing w:before="120"/>
        <w:jc w:val="both"/>
      </w:pPr>
      <w:r w:rsidRPr="00287D89">
        <w:t xml:space="preserve">A Bizottság összetételét </w:t>
      </w:r>
      <w:r w:rsidR="00AC729A" w:rsidRPr="00287D89">
        <w:t xml:space="preserve">az ETT REKEBET veszi nyilvántartásba, és </w:t>
      </w:r>
      <w:r w:rsidR="00360FED" w:rsidRPr="00287D89">
        <w:t xml:space="preserve">az ETT REKEBET </w:t>
      </w:r>
      <w:r w:rsidR="00AC729A" w:rsidRPr="00287D89">
        <w:t xml:space="preserve">hagyja jóvá a Bizottság </w:t>
      </w:r>
      <w:r w:rsidR="00386C00" w:rsidRPr="00287D89">
        <w:t>ügyrendjét</w:t>
      </w:r>
      <w:r w:rsidR="00AC729A" w:rsidRPr="00287D89">
        <w:t>.</w:t>
      </w:r>
      <w:r w:rsidR="00386C00" w:rsidRPr="00287D89">
        <w:t xml:space="preserve"> </w:t>
      </w:r>
    </w:p>
    <w:p w14:paraId="34260BD7" w14:textId="361EF627" w:rsidR="00B62764" w:rsidRPr="00287D89" w:rsidRDefault="00417CEE" w:rsidP="00896538">
      <w:pPr>
        <w:spacing w:before="240"/>
        <w:jc w:val="both"/>
      </w:pPr>
      <w:r w:rsidRPr="00287D89">
        <w:rPr>
          <w:b/>
        </w:rPr>
        <w:t>9</w:t>
      </w:r>
      <w:r w:rsidR="00B62764" w:rsidRPr="00287D89">
        <w:rPr>
          <w:b/>
        </w:rPr>
        <w:t xml:space="preserve">. </w:t>
      </w:r>
      <w:r w:rsidR="00B62764" w:rsidRPr="00287D89">
        <w:t xml:space="preserve">A </w:t>
      </w:r>
      <w:r w:rsidR="002713C0" w:rsidRPr="00287D89">
        <w:t>Bizottság</w:t>
      </w:r>
      <w:r w:rsidR="002713C0" w:rsidRPr="00287D89" w:rsidDel="00A84D04">
        <w:t xml:space="preserve"> </w:t>
      </w:r>
      <w:r w:rsidR="00B62764" w:rsidRPr="00287D89">
        <w:t xml:space="preserve">elnöke </w:t>
      </w:r>
      <w:r w:rsidR="00425636" w:rsidRPr="00287D89">
        <w:rPr>
          <w:color w:val="000000"/>
        </w:rPr>
        <w:t>–</w:t>
      </w:r>
      <w:r w:rsidR="000946D5" w:rsidRPr="00287D89">
        <w:rPr>
          <w:color w:val="000000"/>
        </w:rPr>
        <w:t xml:space="preserve"> az emberen végzett orvostudományi kutatás</w:t>
      </w:r>
      <w:r w:rsidR="00EE28B7" w:rsidRPr="00287D89">
        <w:rPr>
          <w:color w:val="000000"/>
        </w:rPr>
        <w:t xml:space="preserve">okról szóló </w:t>
      </w:r>
      <w:r w:rsidR="000946D5" w:rsidRPr="00287D89">
        <w:t>23/2002.</w:t>
      </w:r>
      <w:r w:rsidR="00896538">
        <w:t xml:space="preserve"> </w:t>
      </w:r>
      <w:r w:rsidR="000946D5" w:rsidRPr="00287D89">
        <w:t xml:space="preserve">(V.9.) EüM rendelet hatálya alá tartozó kutatások esetében </w:t>
      </w:r>
      <w:r w:rsidR="00896538">
        <w:t>–</w:t>
      </w:r>
      <w:r w:rsidR="000946D5" w:rsidRPr="00287D89">
        <w:t xml:space="preserve"> </w:t>
      </w:r>
      <w:r w:rsidR="00B62764" w:rsidRPr="00287D89">
        <w:t>a bizottság tagjaiból jelöli ki azt a független – a kutatásban részt nem vevő – orvost, aki a résztvevők érd</w:t>
      </w:r>
      <w:r w:rsidR="00896538">
        <w:t>ekeinek védelméről gondoskodik.</w:t>
      </w:r>
    </w:p>
    <w:p w14:paraId="32A0FE10" w14:textId="0E39F9AE" w:rsidR="00B62764" w:rsidRPr="00287D89" w:rsidRDefault="00417CEE" w:rsidP="00896538">
      <w:pPr>
        <w:spacing w:before="240"/>
        <w:jc w:val="both"/>
      </w:pPr>
      <w:r w:rsidRPr="00287D89">
        <w:rPr>
          <w:b/>
        </w:rPr>
        <w:t>10</w:t>
      </w:r>
      <w:r w:rsidR="00B62764" w:rsidRPr="00287D89">
        <w:rPr>
          <w:b/>
        </w:rPr>
        <w:t>.</w:t>
      </w:r>
      <w:r w:rsidR="00B62764" w:rsidRPr="00287D89">
        <w:t xml:space="preserve"> A </w:t>
      </w:r>
      <w:r w:rsidR="002713C0" w:rsidRPr="00287D89">
        <w:t>bizottsági</w:t>
      </w:r>
      <w:r w:rsidR="002713C0" w:rsidRPr="00287D89" w:rsidDel="00A84D04">
        <w:t xml:space="preserve"> </w:t>
      </w:r>
      <w:r w:rsidR="00B62764" w:rsidRPr="00287D89">
        <w:t xml:space="preserve">tagság megszűnik: </w:t>
      </w:r>
    </w:p>
    <w:p w14:paraId="510B486F" w14:textId="635E64DB" w:rsidR="00B62764" w:rsidRPr="00287D89" w:rsidRDefault="00B62764" w:rsidP="00896538">
      <w:pPr>
        <w:numPr>
          <w:ilvl w:val="0"/>
          <w:numId w:val="20"/>
        </w:numPr>
        <w:ind w:left="709" w:hanging="228"/>
        <w:jc w:val="both"/>
      </w:pPr>
      <w:r w:rsidRPr="00287D89">
        <w:t>a kinevezési idő lejártával</w:t>
      </w:r>
      <w:r w:rsidR="00896538">
        <w:t>;</w:t>
      </w:r>
    </w:p>
    <w:p w14:paraId="38E6AD3B" w14:textId="041B4B50" w:rsidR="00B62764" w:rsidRPr="00287D89" w:rsidRDefault="00B62764" w:rsidP="00896538">
      <w:pPr>
        <w:numPr>
          <w:ilvl w:val="0"/>
          <w:numId w:val="20"/>
        </w:numPr>
        <w:ind w:left="709" w:hanging="228"/>
        <w:jc w:val="both"/>
      </w:pPr>
      <w:r w:rsidRPr="00287D89">
        <w:t>lemondással</w:t>
      </w:r>
      <w:r w:rsidR="00896538">
        <w:t>;</w:t>
      </w:r>
    </w:p>
    <w:p w14:paraId="04908149" w14:textId="5CA323CE" w:rsidR="00B62764" w:rsidRPr="00287D89" w:rsidRDefault="00B62764" w:rsidP="00896538">
      <w:pPr>
        <w:numPr>
          <w:ilvl w:val="0"/>
          <w:numId w:val="20"/>
        </w:numPr>
        <w:ind w:left="709" w:hanging="228"/>
        <w:jc w:val="both"/>
      </w:pPr>
      <w:r w:rsidRPr="00287D89">
        <w:t>felmentéssel, ha a tag egy naptári évben az ülések több</w:t>
      </w:r>
      <w:r w:rsidR="00896538">
        <w:t xml:space="preserve"> mint felén nem vesz részt;</w:t>
      </w:r>
    </w:p>
    <w:p w14:paraId="36BC809F" w14:textId="77777777" w:rsidR="00B62764" w:rsidRPr="00287D89" w:rsidRDefault="00B62764" w:rsidP="00896538">
      <w:pPr>
        <w:numPr>
          <w:ilvl w:val="0"/>
          <w:numId w:val="20"/>
        </w:numPr>
        <w:ind w:left="709" w:hanging="228"/>
        <w:jc w:val="both"/>
      </w:pPr>
      <w:r w:rsidRPr="00287D89">
        <w:t xml:space="preserve">a tag halálával. </w:t>
      </w:r>
    </w:p>
    <w:p w14:paraId="0CF306A4" w14:textId="5B7FEF2A" w:rsidR="00B62764" w:rsidRPr="00287D89" w:rsidRDefault="00B62764" w:rsidP="00896538">
      <w:pPr>
        <w:pStyle w:val="Szvegtrzs"/>
        <w:spacing w:before="120"/>
      </w:pPr>
      <w:r w:rsidRPr="00287D89">
        <w:t xml:space="preserve">A felmentést írásban a kinevező, illetve a </w:t>
      </w:r>
      <w:r w:rsidR="00035A70" w:rsidRPr="00287D89">
        <w:t>Bizottság</w:t>
      </w:r>
      <w:r w:rsidR="00035A70" w:rsidRPr="00287D89" w:rsidDel="00A84D04">
        <w:t xml:space="preserve"> </w:t>
      </w:r>
      <w:r w:rsidRPr="00287D89">
        <w:t xml:space="preserve">tagjai közül bárki kezdeményezheti. </w:t>
      </w:r>
    </w:p>
    <w:p w14:paraId="7603D767" w14:textId="2DFC3018" w:rsidR="00E356BB" w:rsidRPr="00287D89" w:rsidRDefault="00E356BB">
      <w:pPr>
        <w:pStyle w:val="Szvegtrzs"/>
      </w:pPr>
      <w:r w:rsidRPr="00287D89">
        <w:t>A kieső tag helyére a</w:t>
      </w:r>
      <w:r w:rsidR="00D95E05">
        <w:t xml:space="preserve"> Semmelweis Egyetem rektora </w:t>
      </w:r>
      <w:r w:rsidRPr="00287D89">
        <w:t>új tagot nevez ki.</w:t>
      </w:r>
    </w:p>
    <w:p w14:paraId="0E5C030A" w14:textId="6590BB6E" w:rsidR="00B62764" w:rsidRPr="00287D89" w:rsidRDefault="00417CEE" w:rsidP="00896538">
      <w:pPr>
        <w:spacing w:before="240"/>
        <w:jc w:val="both"/>
      </w:pPr>
      <w:r w:rsidRPr="00287D89">
        <w:rPr>
          <w:b/>
        </w:rPr>
        <w:t>11</w:t>
      </w:r>
      <w:r w:rsidR="00D167A7" w:rsidRPr="00287D89">
        <w:rPr>
          <w:b/>
        </w:rPr>
        <w:t>.</w:t>
      </w:r>
      <w:r w:rsidR="00B62764" w:rsidRPr="00287D89">
        <w:t xml:space="preserve"> Az elnök, a titkár és a tagok hozzájárulnak nevük, végzettségük és foglalkozásuk nyilvánosságra hozatalához. </w:t>
      </w:r>
    </w:p>
    <w:p w14:paraId="7E1E105F" w14:textId="223CD485" w:rsidR="00B62764" w:rsidRPr="00287D89" w:rsidRDefault="00417CEE" w:rsidP="00896538">
      <w:pPr>
        <w:spacing w:before="240"/>
        <w:jc w:val="both"/>
      </w:pPr>
      <w:r w:rsidRPr="00287D89">
        <w:rPr>
          <w:b/>
        </w:rPr>
        <w:t>12</w:t>
      </w:r>
      <w:r w:rsidR="00D167A7" w:rsidRPr="00287D89">
        <w:rPr>
          <w:b/>
        </w:rPr>
        <w:t>.</w:t>
      </w:r>
      <w:r w:rsidR="00B62764" w:rsidRPr="00287D89">
        <w:t xml:space="preserve"> Ha a </w:t>
      </w:r>
      <w:r w:rsidR="00035A70" w:rsidRPr="00287D89">
        <w:t>Bizottság</w:t>
      </w:r>
      <w:r w:rsidR="00035A70" w:rsidRPr="00287D89" w:rsidDel="00A84D04">
        <w:t xml:space="preserve"> </w:t>
      </w:r>
      <w:r w:rsidR="00B62764" w:rsidRPr="00287D89">
        <w:t>tagjai közül valaki az adott kutatásban érintett</w:t>
      </w:r>
      <w:r w:rsidR="002454C0" w:rsidRPr="00287D89">
        <w:t xml:space="preserve"> (azaz </w:t>
      </w:r>
      <w:r w:rsidR="00E84542" w:rsidRPr="00287D89">
        <w:t xml:space="preserve">az adott kutatással </w:t>
      </w:r>
      <w:r w:rsidR="002454C0" w:rsidRPr="00287D89">
        <w:t>bármilyen érdekeltségi kapcsolatban van</w:t>
      </w:r>
      <w:r w:rsidR="00E84542" w:rsidRPr="00287D89">
        <w:t>,</w:t>
      </w:r>
      <w:r w:rsidR="002454C0" w:rsidRPr="00287D89">
        <w:t xml:space="preserve"> vagy az ügy tárgyilagos megítélése tőle nem várható</w:t>
      </w:r>
      <w:r w:rsidR="00E84542" w:rsidRPr="00287D89">
        <w:t>)</w:t>
      </w:r>
      <w:r w:rsidR="00B62764" w:rsidRPr="00287D89">
        <w:t xml:space="preserve"> ez – kizárólag az adott kutatás vonatkozásában – összeférhetetlenséget eredményez. </w:t>
      </w:r>
      <w:r w:rsidR="00892462" w:rsidRPr="00287D89">
        <w:t xml:space="preserve">A </w:t>
      </w:r>
      <w:r w:rsidR="00035A70" w:rsidRPr="00287D89">
        <w:t>Bizottság</w:t>
      </w:r>
      <w:r w:rsidR="00035A70" w:rsidRPr="00287D89" w:rsidDel="00A84D04">
        <w:t xml:space="preserve"> </w:t>
      </w:r>
      <w:r w:rsidR="00892462" w:rsidRPr="00287D89">
        <w:t xml:space="preserve">érintett tagja köteles az összeférhetetlenséget a tanácskozás előtt a </w:t>
      </w:r>
      <w:r w:rsidR="00035A70" w:rsidRPr="00287D89">
        <w:t>Bizottságnak</w:t>
      </w:r>
      <w:r w:rsidR="00892462" w:rsidRPr="00287D89">
        <w:t xml:space="preserve"> bejelenteni. Ha a </w:t>
      </w:r>
      <w:r w:rsidR="00035A70" w:rsidRPr="00287D89">
        <w:t>Bizottság</w:t>
      </w:r>
      <w:r w:rsidR="00035A70" w:rsidRPr="00287D89" w:rsidDel="00A84D04">
        <w:t xml:space="preserve"> </w:t>
      </w:r>
      <w:r w:rsidR="00892462" w:rsidRPr="00287D89">
        <w:t xml:space="preserve">tagja más tagra vonatkozóan </w:t>
      </w:r>
      <w:r w:rsidR="006D31D6" w:rsidRPr="00287D89">
        <w:t xml:space="preserve">jelent be </w:t>
      </w:r>
      <w:r w:rsidR="00892462" w:rsidRPr="00287D89">
        <w:t xml:space="preserve">összeférhetetlenséget, arról a </w:t>
      </w:r>
      <w:r w:rsidR="00035A70" w:rsidRPr="00287D89">
        <w:t>Bizottság</w:t>
      </w:r>
      <w:r w:rsidR="00035A70" w:rsidRPr="00287D89" w:rsidDel="00A84D04">
        <w:t xml:space="preserve"> </w:t>
      </w:r>
      <w:r w:rsidR="00892462" w:rsidRPr="00287D89">
        <w:t xml:space="preserve">egyszerű szótöbbséggel határoz. Nem vehet részt a napirendi pont megtárgyalásában és a döntés meghozatalában az, aki maga jelentette be az összeférhetetlenséget, illetve akivel szemben a </w:t>
      </w:r>
      <w:r w:rsidR="00035A70" w:rsidRPr="00287D89">
        <w:t>Bizottság</w:t>
      </w:r>
      <w:r w:rsidR="00035A70" w:rsidRPr="00287D89" w:rsidDel="00A84D04">
        <w:t xml:space="preserve"> </w:t>
      </w:r>
      <w:r w:rsidR="00892462" w:rsidRPr="00287D89">
        <w:t xml:space="preserve">az összeférhetetlenséget kimondta. Az összeférhetetlenség bejelentését, valamint megállapítását a jegyzőkönyvben rögzíteni kell. </w:t>
      </w:r>
    </w:p>
    <w:p w14:paraId="27458FE2" w14:textId="30EE9169" w:rsidR="00B62764" w:rsidRPr="00287D89" w:rsidRDefault="00417CEE" w:rsidP="00896538">
      <w:pPr>
        <w:spacing w:before="240"/>
        <w:jc w:val="both"/>
      </w:pPr>
      <w:r w:rsidRPr="00D95E05">
        <w:rPr>
          <w:b/>
        </w:rPr>
        <w:t>13</w:t>
      </w:r>
      <w:r w:rsidR="00B62764" w:rsidRPr="00D95E05">
        <w:rPr>
          <w:b/>
        </w:rPr>
        <w:t>.</w:t>
      </w:r>
      <w:r w:rsidR="00B62764" w:rsidRPr="00D95E05">
        <w:t xml:space="preserve"> A </w:t>
      </w:r>
      <w:r w:rsidR="00035A70" w:rsidRPr="00D95E05">
        <w:t>Bizottság</w:t>
      </w:r>
      <w:r w:rsidR="00035A70" w:rsidRPr="00D95E05" w:rsidDel="00A84D04">
        <w:t xml:space="preserve"> </w:t>
      </w:r>
      <w:r w:rsidR="00B62764" w:rsidRPr="00D95E05">
        <w:t>üléseit szükség szerint, de évente legalább 6 alkalommal tartja.</w:t>
      </w:r>
      <w:r w:rsidR="00B62764" w:rsidRPr="00287D89">
        <w:t xml:space="preserve"> </w:t>
      </w:r>
    </w:p>
    <w:p w14:paraId="4913ED49" w14:textId="213182BF" w:rsidR="00B62764" w:rsidRPr="00287D89" w:rsidRDefault="00B62764" w:rsidP="00224BB2">
      <w:pPr>
        <w:jc w:val="both"/>
      </w:pPr>
      <w:r w:rsidRPr="00287D89">
        <w:t xml:space="preserve">A </w:t>
      </w:r>
      <w:r w:rsidR="00035A70" w:rsidRPr="00287D89">
        <w:t>Bizottság</w:t>
      </w:r>
      <w:r w:rsidR="00035A70" w:rsidRPr="00287D89" w:rsidDel="00A84D04">
        <w:t xml:space="preserve"> </w:t>
      </w:r>
      <w:r w:rsidRPr="00287D89">
        <w:t xml:space="preserve">ülését az elnök hívja össze írásban, az ülést megelőzően legalább egy héttel. </w:t>
      </w:r>
    </w:p>
    <w:p w14:paraId="1C82EED3" w14:textId="107ED307" w:rsidR="00B62764" w:rsidRPr="00287D89" w:rsidRDefault="00B62764" w:rsidP="00896538">
      <w:pPr>
        <w:pStyle w:val="Szvegtrzs"/>
        <w:spacing w:before="120"/>
      </w:pPr>
      <w:r w:rsidRPr="00287D89">
        <w:t xml:space="preserve">Amennyiben a bizottság tagjainak egy harmada rendkívüli ülés összehívását kezdeményezi írásban az elnöknél, az elnök köteles az ülést 15 napon belül összehívni. </w:t>
      </w:r>
    </w:p>
    <w:p w14:paraId="58F1EFCE" w14:textId="37059C2E" w:rsidR="004E1989" w:rsidRPr="00287D89" w:rsidRDefault="004E1989" w:rsidP="00896538">
      <w:pPr>
        <w:pStyle w:val="Szvegtrzs"/>
        <w:spacing w:before="120"/>
      </w:pPr>
      <w:r w:rsidRPr="00287D89">
        <w:t xml:space="preserve">Az ülést a </w:t>
      </w:r>
      <w:r w:rsidR="00035A70" w:rsidRPr="00287D89">
        <w:t>Bizottság</w:t>
      </w:r>
      <w:r w:rsidR="00035A70" w:rsidRPr="00287D89" w:rsidDel="00A84D04">
        <w:t xml:space="preserve"> </w:t>
      </w:r>
      <w:r w:rsidRPr="00287D89">
        <w:t>elnöke vezeti, akadályoztatása esetén a levezető elnök a Bizottság titkára.</w:t>
      </w:r>
    </w:p>
    <w:p w14:paraId="302D4562" w14:textId="77777777" w:rsidR="00B62764" w:rsidRPr="00287D89" w:rsidRDefault="00B62764" w:rsidP="00896538">
      <w:pPr>
        <w:spacing w:before="120"/>
        <w:jc w:val="both"/>
      </w:pPr>
      <w:r w:rsidRPr="00287D89">
        <w:lastRenderedPageBreak/>
        <w:t xml:space="preserve">Az ülésen a kérelmező is részt vehet, a tagok hozzá kérdést intézhetnek, azonban a szavazás során nem lehet jelen. </w:t>
      </w:r>
    </w:p>
    <w:p w14:paraId="404AA844" w14:textId="70979457" w:rsidR="00B62764" w:rsidRPr="00287D89" w:rsidRDefault="00B62764" w:rsidP="00896538">
      <w:pPr>
        <w:pStyle w:val="Szvegtrzs"/>
        <w:spacing w:before="120"/>
      </w:pPr>
      <w:r w:rsidRPr="00287D89">
        <w:t>A levezető elnök az ülés megkezdésekor megállapítja a határozatképességet. A</w:t>
      </w:r>
      <w:r w:rsidR="00E33744" w:rsidRPr="00287D89">
        <w:t xml:space="preserve"> </w:t>
      </w:r>
      <w:r w:rsidR="00035A70" w:rsidRPr="00287D89">
        <w:t>Bizottság</w:t>
      </w:r>
      <w:r w:rsidRPr="00287D89">
        <w:t xml:space="preserve"> akkor </w:t>
      </w:r>
      <w:r w:rsidRPr="00B57595">
        <w:t xml:space="preserve">határozatképes, ha az ülésen legalább </w:t>
      </w:r>
      <w:r w:rsidR="00B57595" w:rsidRPr="00B57595">
        <w:t>8</w:t>
      </w:r>
      <w:r w:rsidR="00052F29" w:rsidRPr="00B57595">
        <w:t xml:space="preserve"> </w:t>
      </w:r>
      <w:r w:rsidRPr="00B57595">
        <w:t>fő részt vesz</w:t>
      </w:r>
      <w:r w:rsidR="00C42465" w:rsidRPr="00B57595">
        <w:t>, és ebből legalább 1 nem orvos tag.</w:t>
      </w:r>
      <w:r w:rsidRPr="00287D89">
        <w:t xml:space="preserve"> </w:t>
      </w:r>
    </w:p>
    <w:p w14:paraId="4B88D3DD" w14:textId="3F6BDD55" w:rsidR="00B62764" w:rsidRPr="00287D89" w:rsidRDefault="00B62764" w:rsidP="00896538">
      <w:pPr>
        <w:spacing w:before="120"/>
        <w:jc w:val="both"/>
      </w:pPr>
      <w:r w:rsidRPr="00287D89">
        <w:t>A beérkezett kutatási kérelmeket az elnök által kijelölt referens vélem</w:t>
      </w:r>
      <w:r w:rsidR="00015605" w:rsidRPr="00287D89">
        <w:t xml:space="preserve">ényezi. A </w:t>
      </w:r>
      <w:r w:rsidR="00035A70" w:rsidRPr="00287D89">
        <w:t>Bizottság</w:t>
      </w:r>
      <w:r w:rsidR="00B65003" w:rsidRPr="00287D89">
        <w:t xml:space="preserve"> feladata</w:t>
      </w:r>
      <w:r w:rsidRPr="00287D89">
        <w:t xml:space="preserve"> ellátásához külső szakértőket is igénybe vehet. </w:t>
      </w:r>
    </w:p>
    <w:p w14:paraId="7558C4C1" w14:textId="6C9470EB" w:rsidR="00B62764" w:rsidRPr="00287D89" w:rsidRDefault="00254DCD" w:rsidP="00896538">
      <w:pPr>
        <w:spacing w:before="240"/>
        <w:jc w:val="both"/>
      </w:pPr>
      <w:r w:rsidRPr="00287D89">
        <w:rPr>
          <w:b/>
        </w:rPr>
        <w:t>1</w:t>
      </w:r>
      <w:r w:rsidR="00417CEE" w:rsidRPr="00287D89">
        <w:rPr>
          <w:b/>
        </w:rPr>
        <w:t>4</w:t>
      </w:r>
      <w:r w:rsidR="00B62764" w:rsidRPr="00287D89">
        <w:rPr>
          <w:b/>
        </w:rPr>
        <w:t>.</w:t>
      </w:r>
      <w:r w:rsidR="00B62764" w:rsidRPr="00287D89">
        <w:t xml:space="preserve"> A határozat meghozatalához egyetértés szükséges. Egyetértés hiánya esetén az ellenvéleményt indokolni kell. A döntéshozatalhoz ilyen esetben a jelenlévők felének, plusz egy főnek a szavazata szükséges. </w:t>
      </w:r>
      <w:r w:rsidR="00943FAE" w:rsidRPr="00287D89">
        <w:t xml:space="preserve">Szakmai-etikai vélemény kialakításához legalább egy fő </w:t>
      </w:r>
      <w:r w:rsidR="00872780" w:rsidRPr="00287D89">
        <w:t>laikus</w:t>
      </w:r>
      <w:r w:rsidR="00943FAE" w:rsidRPr="00287D89">
        <w:t xml:space="preserve"> tag szavazata is szükséges.</w:t>
      </w:r>
      <w:r w:rsidR="00D23ED3" w:rsidRPr="00287D89">
        <w:t xml:space="preserve"> </w:t>
      </w:r>
      <w:r w:rsidR="00B62764" w:rsidRPr="00287D89">
        <w:t xml:space="preserve">A tagok szavazati jogukat csak személyesen gyakorolhatják. </w:t>
      </w:r>
    </w:p>
    <w:p w14:paraId="187FA3A9" w14:textId="4440CEAD" w:rsidR="00B62764" w:rsidRPr="00287D89" w:rsidRDefault="00254DCD" w:rsidP="00896538">
      <w:pPr>
        <w:spacing w:before="240"/>
        <w:jc w:val="both"/>
      </w:pPr>
      <w:r w:rsidRPr="00287D89">
        <w:rPr>
          <w:b/>
        </w:rPr>
        <w:t>1</w:t>
      </w:r>
      <w:r w:rsidR="00417CEE" w:rsidRPr="00287D89">
        <w:rPr>
          <w:b/>
        </w:rPr>
        <w:t>5</w:t>
      </w:r>
      <w:r w:rsidR="00B62764" w:rsidRPr="00287D89">
        <w:rPr>
          <w:b/>
        </w:rPr>
        <w:t>.</w:t>
      </w:r>
      <w:r w:rsidR="00B62764" w:rsidRPr="00287D89">
        <w:t xml:space="preserve"> A </w:t>
      </w:r>
      <w:r w:rsidR="00E21E31" w:rsidRPr="00287D89">
        <w:t>Bizottság</w:t>
      </w:r>
      <w:r w:rsidR="00E21E31" w:rsidRPr="00287D89" w:rsidDel="00E21E31">
        <w:t xml:space="preserve"> </w:t>
      </w:r>
      <w:r w:rsidR="00B62764" w:rsidRPr="00287D89">
        <w:t xml:space="preserve">határozatait írásba kell foglalni. A határozatot az elnök írja alá. </w:t>
      </w:r>
    </w:p>
    <w:p w14:paraId="3298785D" w14:textId="77777777" w:rsidR="00B62764" w:rsidRPr="00287D89" w:rsidRDefault="00B62764" w:rsidP="00F1200D">
      <w:pPr>
        <w:jc w:val="both"/>
      </w:pPr>
      <w:r w:rsidRPr="00287D89">
        <w:t xml:space="preserve">A határozatban a bizottság nyilatkozik a kutatás etikai megfelelőségéről, a megfelelőséghez szükséges esetleges módosításokról vagy kiegészítésekről, illetve meg nem felelésről. A véleményben feltünteti az áttekintett dokumentumok listáját, valamint az ülésen és a szavazásban részt vett bizottsági tagok névsorát. </w:t>
      </w:r>
    </w:p>
    <w:p w14:paraId="3F96CDB6" w14:textId="40017055" w:rsidR="003F0228" w:rsidRPr="00287D89" w:rsidRDefault="00254DCD" w:rsidP="00896538">
      <w:pPr>
        <w:pStyle w:val="Szvegtrzs"/>
        <w:spacing w:before="240"/>
      </w:pPr>
      <w:r w:rsidRPr="00287D89">
        <w:rPr>
          <w:b/>
        </w:rPr>
        <w:t>1</w:t>
      </w:r>
      <w:r w:rsidR="00417CEE" w:rsidRPr="00287D89">
        <w:rPr>
          <w:b/>
        </w:rPr>
        <w:t>6</w:t>
      </w:r>
      <w:r w:rsidR="00B62764" w:rsidRPr="00287D89">
        <w:rPr>
          <w:b/>
        </w:rPr>
        <w:t xml:space="preserve">. </w:t>
      </w:r>
      <w:r w:rsidR="00B62764" w:rsidRPr="00287D89">
        <w:t xml:space="preserve">A </w:t>
      </w:r>
      <w:r w:rsidR="00E21E31" w:rsidRPr="00287D89">
        <w:t>Bizottság</w:t>
      </w:r>
      <w:r w:rsidR="00E21E31" w:rsidRPr="00287D89" w:rsidDel="00E21E31">
        <w:t xml:space="preserve"> </w:t>
      </w:r>
      <w:r w:rsidR="00B62764" w:rsidRPr="00287D89">
        <w:t xml:space="preserve">üléseiről jegyzőkönyv készül. A jegyzőkönyv tartalmazza az ülés helyét, idejét, a jelenlévők nevét, a megtárgyalt kérelmeket, a </w:t>
      </w:r>
      <w:r w:rsidR="009F2CD8" w:rsidRPr="00287D89">
        <w:t xml:space="preserve">bejelentett összeférhetetlenséget, a </w:t>
      </w:r>
      <w:r w:rsidR="00B62764" w:rsidRPr="00287D89">
        <w:t xml:space="preserve">hozzászólásokat, véleményeket, valamint a szavazások eredményét. </w:t>
      </w:r>
      <w:r w:rsidR="004B539A" w:rsidRPr="00287D89">
        <w:t xml:space="preserve">A jegyzőkönyvet az ülést </w:t>
      </w:r>
      <w:r w:rsidR="00BF0955" w:rsidRPr="00287D89">
        <w:t>le</w:t>
      </w:r>
      <w:r w:rsidR="004B539A" w:rsidRPr="00287D89">
        <w:t>vezető elnök írja alá, és a Bizottság által választott személy vagy a titkár hitelesíti</w:t>
      </w:r>
      <w:r w:rsidR="00BF0955" w:rsidRPr="00287D89">
        <w:t>.</w:t>
      </w:r>
    </w:p>
    <w:p w14:paraId="19E2EB20" w14:textId="0AB79581" w:rsidR="00AA1775" w:rsidRPr="00287D89" w:rsidRDefault="00254DCD" w:rsidP="00896538">
      <w:pPr>
        <w:pStyle w:val="Szvegtrzs"/>
        <w:spacing w:before="240"/>
      </w:pPr>
      <w:r w:rsidRPr="00287D89">
        <w:rPr>
          <w:b/>
          <w:bCs/>
        </w:rPr>
        <w:t>1</w:t>
      </w:r>
      <w:r w:rsidR="00417CEE" w:rsidRPr="00287D89">
        <w:rPr>
          <w:b/>
          <w:bCs/>
        </w:rPr>
        <w:t>7</w:t>
      </w:r>
      <w:r w:rsidR="00AA1775" w:rsidRPr="00287D89">
        <w:rPr>
          <w:b/>
          <w:bCs/>
        </w:rPr>
        <w:t>.</w:t>
      </w:r>
      <w:r w:rsidR="00AA1775" w:rsidRPr="00287D89">
        <w:t xml:space="preserve"> A </w:t>
      </w:r>
      <w:r w:rsidR="00E21E31" w:rsidRPr="00287D89">
        <w:t>Bizottság</w:t>
      </w:r>
      <w:r w:rsidR="00AA1775" w:rsidRPr="00287D89">
        <w:t xml:space="preserve"> tagjait a </w:t>
      </w:r>
      <w:r w:rsidR="00E21E31" w:rsidRPr="00287D89">
        <w:t>Bizottság</w:t>
      </w:r>
      <w:r w:rsidR="00E21E31" w:rsidRPr="00287D89" w:rsidDel="00E21E31">
        <w:t xml:space="preserve"> </w:t>
      </w:r>
      <w:r w:rsidR="00AA1775" w:rsidRPr="00287D89">
        <w:t>tevékenységével kapcsolatban tudomásukra jutott információk tekintetében titoktartási kötelezettség terheli, erre vonatkozóan a Bizottság elnökének és tagjainak titoktartási nyilatkozatot kell tenniük.</w:t>
      </w:r>
    </w:p>
    <w:p w14:paraId="6FB96A4C" w14:textId="78E0AB1F" w:rsidR="009E3AE1" w:rsidRPr="00287D89" w:rsidRDefault="00254DCD" w:rsidP="00896538">
      <w:pPr>
        <w:spacing w:before="240"/>
        <w:jc w:val="both"/>
      </w:pPr>
      <w:r w:rsidRPr="00287D89">
        <w:rPr>
          <w:b/>
        </w:rPr>
        <w:t>1</w:t>
      </w:r>
      <w:r w:rsidR="00417CEE" w:rsidRPr="00287D89">
        <w:rPr>
          <w:b/>
        </w:rPr>
        <w:t>8</w:t>
      </w:r>
      <w:r w:rsidR="00B62764" w:rsidRPr="00287D89">
        <w:rPr>
          <w:b/>
        </w:rPr>
        <w:t>.</w:t>
      </w:r>
      <w:r w:rsidR="00B62764" w:rsidRPr="00287D89">
        <w:t xml:space="preserve"> </w:t>
      </w:r>
      <w:r w:rsidR="009E3AE1" w:rsidRPr="00287D89">
        <w:t xml:space="preserve">A </w:t>
      </w:r>
      <w:r w:rsidR="00E21E31" w:rsidRPr="00287D89">
        <w:t>Bizottság</w:t>
      </w:r>
      <w:r w:rsidR="00E21E31" w:rsidRPr="00287D89" w:rsidDel="00E21E31">
        <w:t xml:space="preserve"> </w:t>
      </w:r>
      <w:r w:rsidR="009E3AE1" w:rsidRPr="00287D89">
        <w:t xml:space="preserve">díjazása: </w:t>
      </w:r>
    </w:p>
    <w:p w14:paraId="372C216E" w14:textId="77777777" w:rsidR="00D167A7" w:rsidRPr="00287D89" w:rsidRDefault="00245DF5" w:rsidP="00896538">
      <w:pPr>
        <w:jc w:val="both"/>
      </w:pPr>
      <w:r w:rsidRPr="00287D89">
        <w:t>A</w:t>
      </w:r>
      <w:r w:rsidR="009E3AE1" w:rsidRPr="00287D89">
        <w:t>z emberen végzett orvostudományi kutatás</w:t>
      </w:r>
      <w:r w:rsidR="00EE28B7" w:rsidRPr="00287D89">
        <w:t xml:space="preserve">okról szóló </w:t>
      </w:r>
      <w:r w:rsidR="009E3AE1" w:rsidRPr="00287D89">
        <w:t>23/2002.(V.9.) EüM rendelet hatálya alá tartozó kutatások tekintetében</w:t>
      </w:r>
      <w:r w:rsidRPr="00287D89">
        <w:t xml:space="preserve"> a kutatás engedélyezése, az engedély módosítása esetén az igazgatási szolgáltatási díjat az engedélyező hatósághoz kell befizetni (</w:t>
      </w:r>
      <w:r w:rsidR="00067A36" w:rsidRPr="00287D89">
        <w:t>az engedélyező: az országos tisztifőorvos, az engedélyező hatóság: a Nemzeti Népegészségügyi Központ</w:t>
      </w:r>
      <w:r w:rsidR="0086743B" w:rsidRPr="00287D89">
        <w:t>)</w:t>
      </w:r>
      <w:r w:rsidR="00D167A7" w:rsidRPr="00287D89">
        <w:t>.</w:t>
      </w:r>
    </w:p>
    <w:p w14:paraId="1B0C3EBC" w14:textId="098BD392" w:rsidR="006827F8" w:rsidRPr="00287D89" w:rsidRDefault="00254DCD" w:rsidP="00896538">
      <w:pPr>
        <w:spacing w:before="240"/>
        <w:jc w:val="both"/>
      </w:pPr>
      <w:r w:rsidRPr="00287D89">
        <w:rPr>
          <w:b/>
        </w:rPr>
        <w:t>1</w:t>
      </w:r>
      <w:r w:rsidR="00417CEE" w:rsidRPr="00287D89">
        <w:rPr>
          <w:b/>
        </w:rPr>
        <w:t>9</w:t>
      </w:r>
      <w:r w:rsidR="00D167A7" w:rsidRPr="00287D89">
        <w:rPr>
          <w:b/>
        </w:rPr>
        <w:t xml:space="preserve">. </w:t>
      </w:r>
      <w:r w:rsidR="009437DA" w:rsidRPr="00287D89">
        <w:t xml:space="preserve">A </w:t>
      </w:r>
      <w:r w:rsidR="00DF2FC1" w:rsidRPr="00287D89">
        <w:t>Bizottság</w:t>
      </w:r>
      <w:r w:rsidR="00DF2FC1" w:rsidRPr="00287D89" w:rsidDel="00DF2FC1">
        <w:t xml:space="preserve"> </w:t>
      </w:r>
      <w:r w:rsidR="009437DA" w:rsidRPr="00287D89">
        <w:t xml:space="preserve">az eljárásával kapcsolatban keletkezett iratokat, jegyzőkönyveket, az orvostudományi kutatásokkal kapcsolatos dokumentumokat, döntéseket, beszámolójelentéseket és egyéb iratokat </w:t>
      </w:r>
      <w:r w:rsidR="00ED3E73" w:rsidRPr="00287D89">
        <w:t xml:space="preserve">működési helyén, </w:t>
      </w:r>
      <w:r w:rsidR="009437DA" w:rsidRPr="00287D89">
        <w:t>a</w:t>
      </w:r>
      <w:r w:rsidR="00ED3E73" w:rsidRPr="00287D89">
        <w:t xml:space="preserve"> </w:t>
      </w:r>
      <w:r w:rsidR="00B57595">
        <w:t xml:space="preserve">Semmelweis Egyetem Igazságügyi és Biztosítás-orvostani Intézetében </w:t>
      </w:r>
      <w:r w:rsidR="00DF2FC1" w:rsidRPr="00287D89">
        <w:t>kezeli, és a</w:t>
      </w:r>
      <w:r w:rsidR="00B57595">
        <w:t xml:space="preserve"> Semmelweis Egyetem</w:t>
      </w:r>
      <w:r w:rsidR="00DF2FC1" w:rsidRPr="00287D89">
        <w:t xml:space="preserve"> </w:t>
      </w:r>
      <w:r w:rsidR="00E95F0F" w:rsidRPr="00287D89">
        <w:t>adatvédelmi szabályzata</w:t>
      </w:r>
      <w:r w:rsidR="009D411B">
        <w:t>,</w:t>
      </w:r>
      <w:r w:rsidR="00E95F0F" w:rsidRPr="00287D89">
        <w:t xml:space="preserve"> illetve </w:t>
      </w:r>
      <w:r w:rsidR="00E00CFF" w:rsidRPr="00287D89">
        <w:t>iratkezelési szabályzata szerint tartja nyilván és selejtezi.</w:t>
      </w:r>
    </w:p>
    <w:p w14:paraId="455BAB58" w14:textId="5B86B424" w:rsidR="00B62764" w:rsidRPr="00287D89" w:rsidRDefault="00417CEE" w:rsidP="00896538">
      <w:pPr>
        <w:spacing w:before="240"/>
        <w:jc w:val="both"/>
      </w:pPr>
      <w:r w:rsidRPr="00287D89">
        <w:rPr>
          <w:b/>
        </w:rPr>
        <w:t>20</w:t>
      </w:r>
      <w:r w:rsidR="00450516" w:rsidRPr="00287D89">
        <w:rPr>
          <w:b/>
        </w:rPr>
        <w:t xml:space="preserve">. </w:t>
      </w:r>
      <w:r w:rsidR="00B62764" w:rsidRPr="00287D89">
        <w:t xml:space="preserve">A </w:t>
      </w:r>
      <w:r w:rsidR="00DF2FC1" w:rsidRPr="00287D89">
        <w:t>Bizottság</w:t>
      </w:r>
      <w:r w:rsidR="00DF2FC1" w:rsidRPr="00287D89" w:rsidDel="00DF2FC1">
        <w:t xml:space="preserve"> </w:t>
      </w:r>
      <w:r w:rsidR="00B62764" w:rsidRPr="00287D89">
        <w:t>a jelen ügyr</w:t>
      </w:r>
      <w:r w:rsidR="00A158A7" w:rsidRPr="00287D89">
        <w:t>endet, valamint a tagok névsorát</w:t>
      </w:r>
      <w:r w:rsidR="00B62764" w:rsidRPr="00287D89">
        <w:t xml:space="preserve"> továbbítja az ETT </w:t>
      </w:r>
      <w:r w:rsidR="00D0350D" w:rsidRPr="00287D89">
        <w:t>REKEBET</w:t>
      </w:r>
      <w:r w:rsidR="00B62764" w:rsidRPr="00287D89">
        <w:t xml:space="preserve">-hez jóváhagyás végett. </w:t>
      </w:r>
      <w:r w:rsidR="00135D08" w:rsidRPr="00287D89">
        <w:t>Az ügyrend az ETT REKEBET jóváhagyásával lép hatályba.</w:t>
      </w:r>
    </w:p>
    <w:p w14:paraId="17E7D723" w14:textId="77777777" w:rsidR="00135D08" w:rsidRPr="00287D89" w:rsidRDefault="00135D08">
      <w:pPr>
        <w:jc w:val="both"/>
      </w:pPr>
    </w:p>
    <w:p w14:paraId="4B1BDB51" w14:textId="24209640" w:rsidR="00135D08" w:rsidRPr="00287D89" w:rsidRDefault="00254DCD">
      <w:pPr>
        <w:jc w:val="both"/>
      </w:pPr>
      <w:r w:rsidRPr="00287D89">
        <w:rPr>
          <w:b/>
        </w:rPr>
        <w:t>2</w:t>
      </w:r>
      <w:r w:rsidR="00417CEE" w:rsidRPr="00287D89">
        <w:rPr>
          <w:b/>
        </w:rPr>
        <w:t>1</w:t>
      </w:r>
      <w:r w:rsidRPr="00287D89">
        <w:rPr>
          <w:b/>
        </w:rPr>
        <w:t>.</w:t>
      </w:r>
      <w:r w:rsidR="00896538">
        <w:rPr>
          <w:b/>
        </w:rPr>
        <w:t xml:space="preserve"> </w:t>
      </w:r>
      <w:r w:rsidR="00135D08" w:rsidRPr="00287D89">
        <w:t xml:space="preserve">A </w:t>
      </w:r>
      <w:r w:rsidR="00DF2FC1" w:rsidRPr="00287D89">
        <w:t xml:space="preserve">Bizottság </w:t>
      </w:r>
      <w:r w:rsidR="00A101AB" w:rsidRPr="00287D89">
        <w:t>minden olyan tervezett változást</w:t>
      </w:r>
      <w:r w:rsidR="00135D08" w:rsidRPr="00287D89">
        <w:t xml:space="preserve">, </w:t>
      </w:r>
      <w:r w:rsidR="00A101AB" w:rsidRPr="00287D89">
        <w:t>ami</w:t>
      </w:r>
      <w:r w:rsidR="00135D08" w:rsidRPr="00287D89">
        <w:t xml:space="preserve"> az ETT REKEBET által jóváhagyott ügyrendben, illetve az ETT REKEBET által jóváhagyott tagnévsorban történ</w:t>
      </w:r>
      <w:r w:rsidR="00A101AB" w:rsidRPr="00287D89">
        <w:t>ik</w:t>
      </w:r>
      <w:r w:rsidR="00203772" w:rsidRPr="00287D89">
        <w:t>, jóváhagyás végett bejelent az ETT REKEBET-nek</w:t>
      </w:r>
      <w:r w:rsidR="00BC6030" w:rsidRPr="00287D89">
        <w:t>.</w:t>
      </w:r>
    </w:p>
    <w:p w14:paraId="5350FFEE" w14:textId="77777777" w:rsidR="00CE6C0C" w:rsidRPr="00287D89" w:rsidRDefault="00CE6C0C">
      <w:pPr>
        <w:jc w:val="both"/>
      </w:pPr>
    </w:p>
    <w:p w14:paraId="09DE8B7A" w14:textId="77777777" w:rsidR="00A158A7" w:rsidRPr="00287D89" w:rsidRDefault="00A158A7"/>
    <w:p w14:paraId="4F50BE0F" w14:textId="3BF230A9" w:rsidR="00313BD0" w:rsidRPr="00287D89" w:rsidRDefault="00B62764">
      <w:r w:rsidRPr="00287D89">
        <w:t xml:space="preserve">Budapest, </w:t>
      </w:r>
      <w:r w:rsidR="00D0350D" w:rsidRPr="00287D89">
        <w:t>2020</w:t>
      </w:r>
      <w:r w:rsidR="005A1862" w:rsidRPr="00DF7A5C">
        <w:t>.</w:t>
      </w:r>
      <w:r w:rsidR="00436656" w:rsidRPr="00DF7A5C">
        <w:t xml:space="preserve"> </w:t>
      </w:r>
      <w:r w:rsidR="00DF7A5C" w:rsidRPr="00DF7A5C">
        <w:t>február 05.</w:t>
      </w:r>
    </w:p>
    <w:p w14:paraId="67981A0B" w14:textId="77777777" w:rsidR="00313BD0" w:rsidRPr="00287D89" w:rsidRDefault="00313BD0"/>
    <w:p w14:paraId="512BF49B" w14:textId="77777777" w:rsidR="00313BD0" w:rsidRPr="00287D89" w:rsidRDefault="00313BD0"/>
    <w:p w14:paraId="1E53CBA2" w14:textId="77777777" w:rsidR="00313BD0" w:rsidRPr="00287D89" w:rsidRDefault="00313BD0"/>
    <w:p w14:paraId="4BC5256A" w14:textId="7F19D94A" w:rsidR="00B57595" w:rsidRDefault="00314D09" w:rsidP="00B57595">
      <w:r w:rsidRPr="00287D89">
        <w:lastRenderedPageBreak/>
        <w:t xml:space="preserve">Az ETT </w:t>
      </w:r>
      <w:r w:rsidR="00D0350D" w:rsidRPr="00287D89">
        <w:t>REKEBET 2020</w:t>
      </w:r>
      <w:r w:rsidR="00896538">
        <w:t>.</w:t>
      </w:r>
      <w:r w:rsidR="00436656" w:rsidRPr="00287D89">
        <w:rPr>
          <w:highlight w:val="yellow"/>
        </w:rPr>
        <w:t xml:space="preserve"> </w:t>
      </w:r>
      <w:r w:rsidR="00B57595">
        <w:rPr>
          <w:highlight w:val="yellow"/>
        </w:rPr>
        <w:t xml:space="preserve">május …. </w:t>
      </w:r>
      <w:r w:rsidR="00436656" w:rsidRPr="00287D89">
        <w:rPr>
          <w:highlight w:val="yellow"/>
        </w:rPr>
        <w:t>napi</w:t>
      </w:r>
      <w:r w:rsidR="00436656" w:rsidRPr="00287D89">
        <w:t xml:space="preserve"> </w:t>
      </w:r>
      <w:r w:rsidR="00313BD0" w:rsidRPr="00287D89">
        <w:t xml:space="preserve">ülésén a </w:t>
      </w:r>
      <w:r w:rsidR="00B57595">
        <w:t>Semmelweis Egyetem</w:t>
      </w:r>
    </w:p>
    <w:p w14:paraId="43C94BDC" w14:textId="67603E8E" w:rsidR="00450516" w:rsidRPr="00287D89" w:rsidRDefault="00B57595" w:rsidP="00B57595">
      <w:pPr>
        <w:jc w:val="both"/>
      </w:pPr>
      <w:r>
        <w:t xml:space="preserve">Regionális, Intézményi Tudományos és Kutatásetikai Bizottság </w:t>
      </w:r>
      <w:r w:rsidR="00436656" w:rsidRPr="00287D89">
        <w:t>ü</w:t>
      </w:r>
      <w:r w:rsidR="00313BD0" w:rsidRPr="00287D89">
        <w:t xml:space="preserve">gyrendjét </w:t>
      </w:r>
      <w:r w:rsidR="00135D08" w:rsidRPr="00287D89">
        <w:t xml:space="preserve">és tagnévsorát </w:t>
      </w:r>
      <w:r w:rsidR="00313BD0" w:rsidRPr="00287D89">
        <w:t>jóváhagyta.</w:t>
      </w:r>
    </w:p>
    <w:sectPr w:rsidR="00450516" w:rsidRPr="00287D89" w:rsidSect="00E475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04" w:right="1304" w:bottom="1304" w:left="1304" w:header="709" w:footer="709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936246" w16cid:durableId="21DE8331"/>
  <w16cid:commentId w16cid:paraId="2C7C129D" w16cid:durableId="21DEB388"/>
  <w16cid:commentId w16cid:paraId="0071F718" w16cid:durableId="21DEC280"/>
  <w16cid:commentId w16cid:paraId="082A9335" w16cid:durableId="21DEC277"/>
  <w16cid:commentId w16cid:paraId="6EA438C4" w16cid:durableId="21DEB63C"/>
  <w16cid:commentId w16cid:paraId="0193A213" w16cid:durableId="21DEB763"/>
  <w16cid:commentId w16cid:paraId="161A9DB3" w16cid:durableId="21DEB836"/>
  <w16cid:commentId w16cid:paraId="4520EE26" w16cid:durableId="21DECCDF"/>
  <w16cid:commentId w16cid:paraId="41ECD4CF" w16cid:durableId="21DEB953"/>
  <w16cid:commentId w16cid:paraId="5C09C386" w16cid:durableId="21DED699"/>
  <w16cid:commentId w16cid:paraId="0A4BC17C" w16cid:durableId="21DEC168"/>
  <w16cid:commentId w16cid:paraId="68617CA6" w16cid:durableId="21DEC54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321B23" w14:textId="77777777" w:rsidR="0098765C" w:rsidRDefault="0098765C">
      <w:r>
        <w:separator/>
      </w:r>
    </w:p>
  </w:endnote>
  <w:endnote w:type="continuationSeparator" w:id="0">
    <w:p w14:paraId="17F6900C" w14:textId="77777777" w:rsidR="0098765C" w:rsidRDefault="00987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86BF7" w14:textId="77777777" w:rsidR="005F084F" w:rsidRDefault="005F084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50203" w14:textId="77777777" w:rsidR="00EA1A12" w:rsidRDefault="00EA1A1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BAA91" w14:textId="77777777" w:rsidR="005F084F" w:rsidRDefault="005F084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9AF9F3" w14:textId="77777777" w:rsidR="0098765C" w:rsidRDefault="0098765C">
      <w:r>
        <w:separator/>
      </w:r>
    </w:p>
  </w:footnote>
  <w:footnote w:type="continuationSeparator" w:id="0">
    <w:p w14:paraId="3190D79B" w14:textId="77777777" w:rsidR="0098765C" w:rsidRDefault="0098765C">
      <w:r>
        <w:continuationSeparator/>
      </w:r>
    </w:p>
  </w:footnote>
  <w:footnote w:id="1">
    <w:p w14:paraId="067D0D75" w14:textId="4506C9D8" w:rsidR="00DC714C" w:rsidRDefault="00DC714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C714C">
        <w:t>Az értesítésben és az írásos jelentésben a vizsgálati alany kizárólag egyedi kódjával azonosítható.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850DF" w14:textId="77777777" w:rsidR="00EA1A12" w:rsidRDefault="00EA1A1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DB32E44" w14:textId="77777777" w:rsidR="00EA1A12" w:rsidRDefault="00EA1A1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3023363"/>
      <w:docPartObj>
        <w:docPartGallery w:val="Page Numbers (Top of Page)"/>
        <w:docPartUnique/>
      </w:docPartObj>
    </w:sdtPr>
    <w:sdtEndPr/>
    <w:sdtContent>
      <w:p w14:paraId="7700141F" w14:textId="77F91610" w:rsidR="00E475B4" w:rsidRDefault="00E475B4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89A">
          <w:rPr>
            <w:noProof/>
          </w:rPr>
          <w:t>7</w:t>
        </w:r>
        <w:r>
          <w:fldChar w:fldCharType="end"/>
        </w:r>
      </w:p>
    </w:sdtContent>
  </w:sdt>
  <w:p w14:paraId="3A20DB6F" w14:textId="77777777" w:rsidR="00EA1A12" w:rsidRDefault="00EA1A1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20A26" w14:textId="77777777" w:rsidR="005F084F" w:rsidRDefault="005F084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F104D"/>
    <w:multiLevelType w:val="hybridMultilevel"/>
    <w:tmpl w:val="BC48AA50"/>
    <w:lvl w:ilvl="0" w:tplc="A230B8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8D1716"/>
    <w:multiLevelType w:val="multilevel"/>
    <w:tmpl w:val="9B44084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153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222C3410"/>
    <w:multiLevelType w:val="hybridMultilevel"/>
    <w:tmpl w:val="91A4BE1C"/>
    <w:lvl w:ilvl="0" w:tplc="90EE9492">
      <w:start w:val="17"/>
      <w:numFmt w:val="decimal"/>
      <w:lvlText w:val="%1."/>
      <w:lvlJc w:val="left"/>
      <w:pPr>
        <w:tabs>
          <w:tab w:val="num" w:pos="591"/>
        </w:tabs>
        <w:ind w:left="591" w:hanging="450"/>
      </w:pPr>
      <w:rPr>
        <w:rFonts w:ascii="Arial" w:hAnsi="Arial" w:hint="default"/>
        <w:b/>
      </w:rPr>
    </w:lvl>
    <w:lvl w:ilvl="1" w:tplc="C114B054">
      <w:start w:val="17"/>
      <w:numFmt w:val="bullet"/>
      <w:lvlText w:val="-"/>
      <w:lvlJc w:val="left"/>
      <w:pPr>
        <w:tabs>
          <w:tab w:val="num" w:pos="1221"/>
        </w:tabs>
        <w:ind w:left="1221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3">
    <w:nsid w:val="25B304F6"/>
    <w:multiLevelType w:val="hybridMultilevel"/>
    <w:tmpl w:val="1FDA4F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53F4C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B0F1E0A"/>
    <w:multiLevelType w:val="hybridMultilevel"/>
    <w:tmpl w:val="23FE23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9416C"/>
    <w:multiLevelType w:val="hybridMultilevel"/>
    <w:tmpl w:val="FB520C3C"/>
    <w:lvl w:ilvl="0" w:tplc="C114B054">
      <w:start w:val="17"/>
      <w:numFmt w:val="bullet"/>
      <w:lvlText w:val="-"/>
      <w:lvlJc w:val="left"/>
      <w:pPr>
        <w:ind w:left="122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7">
    <w:nsid w:val="38CE650B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9150B1D"/>
    <w:multiLevelType w:val="hybridMultilevel"/>
    <w:tmpl w:val="428417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DD6630"/>
    <w:multiLevelType w:val="hybridMultilevel"/>
    <w:tmpl w:val="9A2E6D2E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384683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5773121E"/>
    <w:multiLevelType w:val="hybridMultilevel"/>
    <w:tmpl w:val="883CE5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99775D"/>
    <w:multiLevelType w:val="hybridMultilevel"/>
    <w:tmpl w:val="D7DCB09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31605A"/>
    <w:multiLevelType w:val="hybridMultilevel"/>
    <w:tmpl w:val="6E701F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8E029A"/>
    <w:multiLevelType w:val="multilevel"/>
    <w:tmpl w:val="F8661C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5BC185C"/>
    <w:multiLevelType w:val="multilevel"/>
    <w:tmpl w:val="9B44084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153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>
    <w:nsid w:val="665A5B7F"/>
    <w:multiLevelType w:val="multilevel"/>
    <w:tmpl w:val="9B44084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153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>
    <w:nsid w:val="7A2F3BA1"/>
    <w:multiLevelType w:val="hybridMultilevel"/>
    <w:tmpl w:val="BFEC463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C815B7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E317F63"/>
    <w:multiLevelType w:val="multilevel"/>
    <w:tmpl w:val="9A2E6D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1"/>
  </w:num>
  <w:num w:numId="4">
    <w:abstractNumId w:val="1"/>
  </w:num>
  <w:num w:numId="5">
    <w:abstractNumId w:val="16"/>
  </w:num>
  <w:num w:numId="6">
    <w:abstractNumId w:val="7"/>
  </w:num>
  <w:num w:numId="7">
    <w:abstractNumId w:val="15"/>
  </w:num>
  <w:num w:numId="8">
    <w:abstractNumId w:val="9"/>
  </w:num>
  <w:num w:numId="9">
    <w:abstractNumId w:val="2"/>
  </w:num>
  <w:num w:numId="10">
    <w:abstractNumId w:val="19"/>
  </w:num>
  <w:num w:numId="11">
    <w:abstractNumId w:val="12"/>
  </w:num>
  <w:num w:numId="12">
    <w:abstractNumId w:val="8"/>
  </w:num>
  <w:num w:numId="13">
    <w:abstractNumId w:val="10"/>
    <w:lvlOverride w:ilvl="0">
      <w:startOverride w:val="1"/>
    </w:lvlOverride>
  </w:num>
  <w:num w:numId="14">
    <w:abstractNumId w:val="3"/>
  </w:num>
  <w:num w:numId="15">
    <w:abstractNumId w:val="5"/>
  </w:num>
  <w:num w:numId="16">
    <w:abstractNumId w:val="14"/>
  </w:num>
  <w:num w:numId="17">
    <w:abstractNumId w:val="13"/>
  </w:num>
  <w:num w:numId="18">
    <w:abstractNumId w:val="17"/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D23"/>
    <w:rsid w:val="00001137"/>
    <w:rsid w:val="000127E8"/>
    <w:rsid w:val="00015605"/>
    <w:rsid w:val="00023C66"/>
    <w:rsid w:val="00024FFE"/>
    <w:rsid w:val="00035A70"/>
    <w:rsid w:val="00040057"/>
    <w:rsid w:val="000477CB"/>
    <w:rsid w:val="000503DE"/>
    <w:rsid w:val="0005098B"/>
    <w:rsid w:val="00052F29"/>
    <w:rsid w:val="00056C1B"/>
    <w:rsid w:val="00063587"/>
    <w:rsid w:val="00067A36"/>
    <w:rsid w:val="00084430"/>
    <w:rsid w:val="00084499"/>
    <w:rsid w:val="000946D5"/>
    <w:rsid w:val="000A541F"/>
    <w:rsid w:val="000C04C8"/>
    <w:rsid w:val="000C4C4D"/>
    <w:rsid w:val="000D1273"/>
    <w:rsid w:val="000D2A50"/>
    <w:rsid w:val="000D4B63"/>
    <w:rsid w:val="000D51E9"/>
    <w:rsid w:val="000D7DE5"/>
    <w:rsid w:val="000F6866"/>
    <w:rsid w:val="001158C2"/>
    <w:rsid w:val="00122BCF"/>
    <w:rsid w:val="0012589E"/>
    <w:rsid w:val="0013058F"/>
    <w:rsid w:val="00131C64"/>
    <w:rsid w:val="001325B6"/>
    <w:rsid w:val="00135D08"/>
    <w:rsid w:val="00140F5F"/>
    <w:rsid w:val="00144B4D"/>
    <w:rsid w:val="0015218C"/>
    <w:rsid w:val="00164836"/>
    <w:rsid w:val="001704E3"/>
    <w:rsid w:val="001A2D80"/>
    <w:rsid w:val="001B11EF"/>
    <w:rsid w:val="001B15AC"/>
    <w:rsid w:val="001C0F28"/>
    <w:rsid w:val="001C28C7"/>
    <w:rsid w:val="001F6997"/>
    <w:rsid w:val="00200943"/>
    <w:rsid w:val="00203772"/>
    <w:rsid w:val="00212CF7"/>
    <w:rsid w:val="00224BB2"/>
    <w:rsid w:val="0023048D"/>
    <w:rsid w:val="00235E9D"/>
    <w:rsid w:val="002454C0"/>
    <w:rsid w:val="00245DF5"/>
    <w:rsid w:val="0025440E"/>
    <w:rsid w:val="00254DCD"/>
    <w:rsid w:val="002567CF"/>
    <w:rsid w:val="00263719"/>
    <w:rsid w:val="0026777A"/>
    <w:rsid w:val="002713C0"/>
    <w:rsid w:val="00273AF6"/>
    <w:rsid w:val="002835A4"/>
    <w:rsid w:val="0028775C"/>
    <w:rsid w:val="00287D89"/>
    <w:rsid w:val="002908F1"/>
    <w:rsid w:val="002A5A0C"/>
    <w:rsid w:val="002B093D"/>
    <w:rsid w:val="002B77BA"/>
    <w:rsid w:val="002C071B"/>
    <w:rsid w:val="002C20A8"/>
    <w:rsid w:val="002E3207"/>
    <w:rsid w:val="002E7D3F"/>
    <w:rsid w:val="002F2858"/>
    <w:rsid w:val="002F2D04"/>
    <w:rsid w:val="002F4147"/>
    <w:rsid w:val="00313BD0"/>
    <w:rsid w:val="00314D09"/>
    <w:rsid w:val="003170EA"/>
    <w:rsid w:val="00333CAC"/>
    <w:rsid w:val="003369FE"/>
    <w:rsid w:val="00355964"/>
    <w:rsid w:val="00356F46"/>
    <w:rsid w:val="00360FED"/>
    <w:rsid w:val="0037744B"/>
    <w:rsid w:val="00377BE4"/>
    <w:rsid w:val="00380322"/>
    <w:rsid w:val="00386C00"/>
    <w:rsid w:val="00390909"/>
    <w:rsid w:val="003B1C86"/>
    <w:rsid w:val="003B7D6B"/>
    <w:rsid w:val="003C2319"/>
    <w:rsid w:val="003C3015"/>
    <w:rsid w:val="003E0616"/>
    <w:rsid w:val="003F0228"/>
    <w:rsid w:val="00415882"/>
    <w:rsid w:val="00417CEE"/>
    <w:rsid w:val="004252DA"/>
    <w:rsid w:val="00425636"/>
    <w:rsid w:val="00431572"/>
    <w:rsid w:val="00436656"/>
    <w:rsid w:val="00444D1E"/>
    <w:rsid w:val="00445411"/>
    <w:rsid w:val="00450516"/>
    <w:rsid w:val="00456107"/>
    <w:rsid w:val="004573DE"/>
    <w:rsid w:val="00470EC8"/>
    <w:rsid w:val="00473CBB"/>
    <w:rsid w:val="0049255B"/>
    <w:rsid w:val="004A4BB2"/>
    <w:rsid w:val="004B51AA"/>
    <w:rsid w:val="004B539A"/>
    <w:rsid w:val="004C646A"/>
    <w:rsid w:val="004E1989"/>
    <w:rsid w:val="0050348F"/>
    <w:rsid w:val="00506363"/>
    <w:rsid w:val="00506E2C"/>
    <w:rsid w:val="0051202E"/>
    <w:rsid w:val="00534834"/>
    <w:rsid w:val="00537B58"/>
    <w:rsid w:val="00537E30"/>
    <w:rsid w:val="005440BF"/>
    <w:rsid w:val="00554F8C"/>
    <w:rsid w:val="00563393"/>
    <w:rsid w:val="00564754"/>
    <w:rsid w:val="005A1862"/>
    <w:rsid w:val="005B38CF"/>
    <w:rsid w:val="005B5B1F"/>
    <w:rsid w:val="005C122C"/>
    <w:rsid w:val="005C5C10"/>
    <w:rsid w:val="005E489A"/>
    <w:rsid w:val="005E7D23"/>
    <w:rsid w:val="005F084F"/>
    <w:rsid w:val="005F34A2"/>
    <w:rsid w:val="005F5065"/>
    <w:rsid w:val="00604105"/>
    <w:rsid w:val="00605C8A"/>
    <w:rsid w:val="006061F9"/>
    <w:rsid w:val="006063CB"/>
    <w:rsid w:val="00615ABC"/>
    <w:rsid w:val="00616597"/>
    <w:rsid w:val="00621254"/>
    <w:rsid w:val="00622FB7"/>
    <w:rsid w:val="00623F9B"/>
    <w:rsid w:val="00631A64"/>
    <w:rsid w:val="006500CE"/>
    <w:rsid w:val="00660437"/>
    <w:rsid w:val="00680E62"/>
    <w:rsid w:val="006827F8"/>
    <w:rsid w:val="00684E8B"/>
    <w:rsid w:val="006B3209"/>
    <w:rsid w:val="006B57B1"/>
    <w:rsid w:val="006C4DE8"/>
    <w:rsid w:val="006D1134"/>
    <w:rsid w:val="006D31D6"/>
    <w:rsid w:val="006D7306"/>
    <w:rsid w:val="006F0FCF"/>
    <w:rsid w:val="006F1F85"/>
    <w:rsid w:val="00701229"/>
    <w:rsid w:val="00715694"/>
    <w:rsid w:val="007219EE"/>
    <w:rsid w:val="0073085A"/>
    <w:rsid w:val="007319B5"/>
    <w:rsid w:val="00743709"/>
    <w:rsid w:val="00744784"/>
    <w:rsid w:val="007814B2"/>
    <w:rsid w:val="007863B2"/>
    <w:rsid w:val="00792BEA"/>
    <w:rsid w:val="0079423C"/>
    <w:rsid w:val="007A6D44"/>
    <w:rsid w:val="007B56FE"/>
    <w:rsid w:val="007B59B2"/>
    <w:rsid w:val="007C1516"/>
    <w:rsid w:val="007E064D"/>
    <w:rsid w:val="007E648B"/>
    <w:rsid w:val="0080644A"/>
    <w:rsid w:val="0080764E"/>
    <w:rsid w:val="00812DC9"/>
    <w:rsid w:val="008204C7"/>
    <w:rsid w:val="00845862"/>
    <w:rsid w:val="0086743B"/>
    <w:rsid w:val="00872780"/>
    <w:rsid w:val="008859AA"/>
    <w:rsid w:val="00892462"/>
    <w:rsid w:val="00892E93"/>
    <w:rsid w:val="00896538"/>
    <w:rsid w:val="008A4BF3"/>
    <w:rsid w:val="008B44C7"/>
    <w:rsid w:val="008B55CC"/>
    <w:rsid w:val="008C038D"/>
    <w:rsid w:val="008C7C55"/>
    <w:rsid w:val="008D0FEA"/>
    <w:rsid w:val="00905E8B"/>
    <w:rsid w:val="0091108D"/>
    <w:rsid w:val="009136F6"/>
    <w:rsid w:val="0093379B"/>
    <w:rsid w:val="009437DA"/>
    <w:rsid w:val="00943FAE"/>
    <w:rsid w:val="0098765C"/>
    <w:rsid w:val="009924B2"/>
    <w:rsid w:val="00995848"/>
    <w:rsid w:val="009A23B3"/>
    <w:rsid w:val="009B4E98"/>
    <w:rsid w:val="009C48D9"/>
    <w:rsid w:val="009C598F"/>
    <w:rsid w:val="009D411B"/>
    <w:rsid w:val="009D7D75"/>
    <w:rsid w:val="009E3AE1"/>
    <w:rsid w:val="009F2CD8"/>
    <w:rsid w:val="00A04B37"/>
    <w:rsid w:val="00A06906"/>
    <w:rsid w:val="00A07D0E"/>
    <w:rsid w:val="00A101AB"/>
    <w:rsid w:val="00A158A7"/>
    <w:rsid w:val="00A159CE"/>
    <w:rsid w:val="00A6436D"/>
    <w:rsid w:val="00A70193"/>
    <w:rsid w:val="00A82251"/>
    <w:rsid w:val="00A84D04"/>
    <w:rsid w:val="00AA1775"/>
    <w:rsid w:val="00AC523B"/>
    <w:rsid w:val="00AC729A"/>
    <w:rsid w:val="00AD1F03"/>
    <w:rsid w:val="00AE7540"/>
    <w:rsid w:val="00B13D4E"/>
    <w:rsid w:val="00B15815"/>
    <w:rsid w:val="00B238C0"/>
    <w:rsid w:val="00B35385"/>
    <w:rsid w:val="00B57595"/>
    <w:rsid w:val="00B62764"/>
    <w:rsid w:val="00B65003"/>
    <w:rsid w:val="00B7630C"/>
    <w:rsid w:val="00B911DD"/>
    <w:rsid w:val="00B97534"/>
    <w:rsid w:val="00BC6030"/>
    <w:rsid w:val="00BC73B3"/>
    <w:rsid w:val="00BD5520"/>
    <w:rsid w:val="00BE01F9"/>
    <w:rsid w:val="00BE2E49"/>
    <w:rsid w:val="00BF0955"/>
    <w:rsid w:val="00BF23C9"/>
    <w:rsid w:val="00BF2C50"/>
    <w:rsid w:val="00BF457B"/>
    <w:rsid w:val="00C2181F"/>
    <w:rsid w:val="00C230CB"/>
    <w:rsid w:val="00C248E1"/>
    <w:rsid w:val="00C3510F"/>
    <w:rsid w:val="00C35458"/>
    <w:rsid w:val="00C42465"/>
    <w:rsid w:val="00C42DFA"/>
    <w:rsid w:val="00C46745"/>
    <w:rsid w:val="00C554AD"/>
    <w:rsid w:val="00C73707"/>
    <w:rsid w:val="00C9211E"/>
    <w:rsid w:val="00C952E9"/>
    <w:rsid w:val="00C9563A"/>
    <w:rsid w:val="00CB0730"/>
    <w:rsid w:val="00CB6253"/>
    <w:rsid w:val="00CC5964"/>
    <w:rsid w:val="00CD46DC"/>
    <w:rsid w:val="00CD6029"/>
    <w:rsid w:val="00CE59ED"/>
    <w:rsid w:val="00CE6C0C"/>
    <w:rsid w:val="00D0350D"/>
    <w:rsid w:val="00D03FAA"/>
    <w:rsid w:val="00D151E4"/>
    <w:rsid w:val="00D167A7"/>
    <w:rsid w:val="00D23ED3"/>
    <w:rsid w:val="00D57390"/>
    <w:rsid w:val="00D6390A"/>
    <w:rsid w:val="00D70186"/>
    <w:rsid w:val="00D71C7D"/>
    <w:rsid w:val="00D9434D"/>
    <w:rsid w:val="00D95E05"/>
    <w:rsid w:val="00D96021"/>
    <w:rsid w:val="00D97710"/>
    <w:rsid w:val="00DA238E"/>
    <w:rsid w:val="00DB1813"/>
    <w:rsid w:val="00DB2A07"/>
    <w:rsid w:val="00DB74CD"/>
    <w:rsid w:val="00DC714C"/>
    <w:rsid w:val="00DF2FC1"/>
    <w:rsid w:val="00DF716B"/>
    <w:rsid w:val="00DF7A5C"/>
    <w:rsid w:val="00DF7BA1"/>
    <w:rsid w:val="00E00CFF"/>
    <w:rsid w:val="00E21E31"/>
    <w:rsid w:val="00E31F89"/>
    <w:rsid w:val="00E33744"/>
    <w:rsid w:val="00E356BB"/>
    <w:rsid w:val="00E42E1C"/>
    <w:rsid w:val="00E475B4"/>
    <w:rsid w:val="00E518B9"/>
    <w:rsid w:val="00E578C2"/>
    <w:rsid w:val="00E84542"/>
    <w:rsid w:val="00E87850"/>
    <w:rsid w:val="00E95089"/>
    <w:rsid w:val="00E956E6"/>
    <w:rsid w:val="00E95F0F"/>
    <w:rsid w:val="00EA1A12"/>
    <w:rsid w:val="00EA3EA1"/>
    <w:rsid w:val="00ED0252"/>
    <w:rsid w:val="00ED2E3D"/>
    <w:rsid w:val="00ED3E73"/>
    <w:rsid w:val="00EE28B7"/>
    <w:rsid w:val="00EE5C9C"/>
    <w:rsid w:val="00EF39AF"/>
    <w:rsid w:val="00F03B0A"/>
    <w:rsid w:val="00F07E8C"/>
    <w:rsid w:val="00F1200D"/>
    <w:rsid w:val="00F143F9"/>
    <w:rsid w:val="00F1772B"/>
    <w:rsid w:val="00F3519F"/>
    <w:rsid w:val="00F4047E"/>
    <w:rsid w:val="00F4674B"/>
    <w:rsid w:val="00F558EB"/>
    <w:rsid w:val="00F63203"/>
    <w:rsid w:val="00F839A5"/>
    <w:rsid w:val="00F86646"/>
    <w:rsid w:val="00FA0369"/>
    <w:rsid w:val="00FA42E6"/>
    <w:rsid w:val="00FC11D3"/>
    <w:rsid w:val="00FC1DDA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F315DB"/>
  <w15:docId w15:val="{903470B8-E90E-4A6E-983C-F8D808D43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90909"/>
    <w:rPr>
      <w:sz w:val="24"/>
    </w:rPr>
  </w:style>
  <w:style w:type="paragraph" w:styleId="Cmsor1">
    <w:name w:val="heading 1"/>
    <w:basedOn w:val="Norml"/>
    <w:next w:val="Norml"/>
    <w:link w:val="Cmsor1Char"/>
    <w:qFormat/>
    <w:rsid w:val="00417CEE"/>
    <w:pPr>
      <w:keepNext/>
      <w:widowControl w:val="0"/>
      <w:snapToGrid w:val="0"/>
      <w:spacing w:line="240" w:lineRule="exact"/>
      <w:jc w:val="center"/>
      <w:outlineLvl w:val="0"/>
    </w:pPr>
    <w:rPr>
      <w:rFonts w:ascii="CG Times" w:hAnsi="CG Times"/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pPr>
      <w:jc w:val="center"/>
    </w:pPr>
    <w:rPr>
      <w:i/>
    </w:rPr>
  </w:style>
  <w:style w:type="paragraph" w:styleId="Buborkszveg">
    <w:name w:val="Balloon Text"/>
    <w:basedOn w:val="Norml"/>
    <w:semiHidden/>
    <w:rsid w:val="009B4E98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semiHidden/>
    <w:unhideWhenUsed/>
    <w:rsid w:val="00DF7BA1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DF7BA1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DF7BA1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DF7BA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DF7BA1"/>
    <w:rPr>
      <w:b/>
      <w:bCs/>
    </w:rPr>
  </w:style>
  <w:style w:type="paragraph" w:styleId="Listaszerbekezds">
    <w:name w:val="List Paragraph"/>
    <w:basedOn w:val="Norml"/>
    <w:uiPriority w:val="34"/>
    <w:qFormat/>
    <w:rsid w:val="00F03B0A"/>
    <w:pPr>
      <w:ind w:left="720"/>
      <w:contextualSpacing/>
    </w:pPr>
  </w:style>
  <w:style w:type="paragraph" w:styleId="Cm">
    <w:name w:val="Title"/>
    <w:basedOn w:val="Norml"/>
    <w:next w:val="Norml"/>
    <w:link w:val="CmChar"/>
    <w:qFormat/>
    <w:rsid w:val="002A5A0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2A5A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bjegyzetszveg">
    <w:name w:val="footnote text"/>
    <w:basedOn w:val="Norml"/>
    <w:link w:val="LbjegyzetszvegChar"/>
    <w:semiHidden/>
    <w:unhideWhenUsed/>
    <w:rsid w:val="007319B5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319B5"/>
  </w:style>
  <w:style w:type="character" w:styleId="Lbjegyzet-hivatkozs">
    <w:name w:val="footnote reference"/>
    <w:basedOn w:val="Bekezdsalapbettpusa"/>
    <w:semiHidden/>
    <w:unhideWhenUsed/>
    <w:rsid w:val="007319B5"/>
    <w:rPr>
      <w:vertAlign w:val="superscript"/>
    </w:rPr>
  </w:style>
  <w:style w:type="character" w:customStyle="1" w:styleId="Cmsor1Char">
    <w:name w:val="Címsor 1 Char"/>
    <w:basedOn w:val="Bekezdsalapbettpusa"/>
    <w:link w:val="Cmsor1"/>
    <w:rsid w:val="00417CEE"/>
    <w:rPr>
      <w:rFonts w:ascii="CG Times" w:hAnsi="CG Times"/>
      <w:b/>
      <w:sz w:val="24"/>
    </w:rPr>
  </w:style>
  <w:style w:type="character" w:customStyle="1" w:styleId="llbChar">
    <w:name w:val="Élőláb Char"/>
    <w:basedOn w:val="Bekezdsalapbettpusa"/>
    <w:link w:val="llb"/>
    <w:uiPriority w:val="99"/>
    <w:rsid w:val="00E956E6"/>
    <w:rPr>
      <w:sz w:val="24"/>
    </w:rPr>
  </w:style>
  <w:style w:type="character" w:customStyle="1" w:styleId="lfejChar">
    <w:name w:val="Élőfej Char"/>
    <w:basedOn w:val="Bekezdsalapbettpusa"/>
    <w:link w:val="lfej"/>
    <w:uiPriority w:val="99"/>
    <w:rsid w:val="00E475B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958DA-3F73-4337-A1F6-83027500B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2495</Words>
  <Characters>17216</Characters>
  <Application>Microsoft Office Word</Application>
  <DocSecurity>0</DocSecurity>
  <Lines>143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TERVEZET</vt:lpstr>
    </vt:vector>
  </TitlesOfParts>
  <Company>SOTE</Company>
  <LinksUpToDate>false</LinksUpToDate>
  <CharactersWithSpaces>19672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TERVEZET</dc:title>
  <dc:creator>Igazságügyi Orvostani Int.</dc:creator>
  <cp:lastModifiedBy>iboi</cp:lastModifiedBy>
  <cp:revision>2</cp:revision>
  <cp:lastPrinted>2020-05-25T06:34:00Z</cp:lastPrinted>
  <dcterms:created xsi:type="dcterms:W3CDTF">2020-08-03T07:42:00Z</dcterms:created>
  <dcterms:modified xsi:type="dcterms:W3CDTF">2020-08-03T07:42:00Z</dcterms:modified>
</cp:coreProperties>
</file>