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F" w:rsidRDefault="00B62764">
      <w:pPr>
        <w:pStyle w:val="Szvegtrzs2"/>
        <w:rPr>
          <w:rFonts w:ascii="Arial Black" w:hAnsi="Arial Black"/>
        </w:rPr>
      </w:pPr>
      <w:r>
        <w:rPr>
          <w:rFonts w:ascii="Arial Black" w:hAnsi="Arial Black"/>
        </w:rPr>
        <w:t xml:space="preserve">A </w:t>
      </w:r>
      <w:r w:rsidR="005E7D23">
        <w:rPr>
          <w:rFonts w:ascii="Arial Black" w:hAnsi="Arial Black"/>
        </w:rPr>
        <w:t>Semmelweis Egyetem</w:t>
      </w:r>
    </w:p>
    <w:p w:rsidR="00B62764" w:rsidRDefault="005E7D23">
      <w:pPr>
        <w:pStyle w:val="Szvegtrzs2"/>
        <w:rPr>
          <w:rFonts w:ascii="Arial Black" w:hAnsi="Arial Black"/>
        </w:rPr>
      </w:pPr>
      <w:r>
        <w:rPr>
          <w:rFonts w:ascii="Arial Black" w:hAnsi="Arial Black"/>
        </w:rPr>
        <w:t>Regionális,</w:t>
      </w:r>
      <w:r w:rsidR="00B62764">
        <w:rPr>
          <w:rFonts w:ascii="Arial Black" w:hAnsi="Arial Black"/>
        </w:rPr>
        <w:t xml:space="preserve"> Intézményi Tudományos és Kutatásetikai Bizottságának</w:t>
      </w:r>
      <w:r>
        <w:rPr>
          <w:rFonts w:ascii="Arial Black" w:hAnsi="Arial Black"/>
        </w:rPr>
        <w:t xml:space="preserve"> ügyrendje</w:t>
      </w:r>
    </w:p>
    <w:p w:rsidR="00B62764" w:rsidRDefault="00B62764">
      <w:pPr>
        <w:rPr>
          <w:rFonts w:ascii="Arial Black" w:hAnsi="Arial Black"/>
        </w:rPr>
      </w:pPr>
    </w:p>
    <w:p w:rsidR="00F143F9" w:rsidRDefault="00F143F9" w:rsidP="00445411">
      <w:pPr>
        <w:pStyle w:val="lfej"/>
        <w:jc w:val="both"/>
      </w:pPr>
    </w:p>
    <w:p w:rsidR="00F143F9" w:rsidRDefault="00F143F9" w:rsidP="00445411">
      <w:pPr>
        <w:pStyle w:val="lfej"/>
        <w:jc w:val="both"/>
      </w:pPr>
    </w:p>
    <w:p w:rsidR="00445411" w:rsidRPr="0073085A" w:rsidRDefault="00F143F9" w:rsidP="00CD46DC">
      <w:pPr>
        <w:pStyle w:val="lfej"/>
        <w:jc w:val="both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/>
            <w:b/>
          </w:rPr>
          <w:t>1</w:t>
        </w:r>
        <w:r w:rsidR="00B62764">
          <w:rPr>
            <w:rFonts w:ascii="Arial" w:hAnsi="Arial"/>
            <w:b/>
          </w:rPr>
          <w:t>.</w:t>
        </w:r>
        <w:r w:rsidR="00B62764">
          <w:t xml:space="preserve"> A</w:t>
        </w:r>
      </w:smartTag>
      <w:r w:rsidR="00B62764">
        <w:t xml:space="preserve"> Semmelweis Egyetem Regionális és Inté</w:t>
      </w:r>
      <w:r>
        <w:t xml:space="preserve">zményi Kutatásetikai Bizottsága </w:t>
      </w:r>
      <w:r w:rsidR="00B62764">
        <w:t xml:space="preserve">(a továbbiakban Semmelweis Egyetem TUKEB) az egészségügyről szóló 1997. évi CLIV. törvény, </w:t>
      </w:r>
      <w:r w:rsidR="00CD46DC">
        <w:t xml:space="preserve">az emberen végzett orvostudományi kutatások, az emberi felhasználásra kerülő vizsgálati készítmények klinikai vizsgálata, valamint az emberen történő alkalmazásra szolgáló, klinikai vizsgálatra szánt orvostechnikai eszközök klinikai vizsgálata engedélyezési eljárásának szabályairól szóló 235/2009. (X. 20.) Korm. rendelet, valamint </w:t>
      </w:r>
      <w:r w:rsidR="00B62764">
        <w:t xml:space="preserve">az emberen végzett orvostudományi kutatásra vonatkozó 23/2002.(V.9.) EüM rendelet, </w:t>
      </w:r>
      <w:r w:rsidR="00B62764" w:rsidRPr="0073085A">
        <w:rPr>
          <w:szCs w:val="24"/>
        </w:rPr>
        <w:t xml:space="preserve">valamint </w:t>
      </w:r>
      <w:bookmarkStart w:id="0" w:name="pr2"/>
      <w:bookmarkStart w:id="1" w:name="pr1"/>
      <w:r w:rsidR="00B62764" w:rsidRPr="00263719">
        <w:rPr>
          <w:szCs w:val="24"/>
        </w:rPr>
        <w:t xml:space="preserve">az emberi felhasználásra kerülő vizsgálati </w:t>
      </w:r>
      <w:r w:rsidR="00445411" w:rsidRPr="00263719">
        <w:rPr>
          <w:bCs/>
          <w:szCs w:val="24"/>
        </w:rPr>
        <w:t>készítmények klinikai vizsgálatáról és a helyes klinikai gyakorlat alkalmazásáról</w:t>
      </w:r>
      <w:bookmarkEnd w:id="0"/>
      <w:r w:rsidR="00445411" w:rsidRPr="00263719">
        <w:rPr>
          <w:bCs/>
          <w:szCs w:val="24"/>
        </w:rPr>
        <w:t xml:space="preserve"> szóló 35/2005. (VIII. 26.) EüM rendelet</w:t>
      </w:r>
      <w:bookmarkEnd w:id="1"/>
      <w:r w:rsidR="00445411" w:rsidRPr="00263719">
        <w:rPr>
          <w:bCs/>
          <w:szCs w:val="24"/>
          <w:u w:val="single"/>
        </w:rPr>
        <w:t xml:space="preserve"> </w:t>
      </w:r>
      <w:r w:rsidR="00B62764" w:rsidRPr="0073085A">
        <w:rPr>
          <w:szCs w:val="24"/>
        </w:rPr>
        <w:t xml:space="preserve">alapján működik. </w:t>
      </w:r>
    </w:p>
    <w:p w:rsidR="00445411" w:rsidRPr="0073085A" w:rsidRDefault="00445411" w:rsidP="00445411">
      <w:pPr>
        <w:pStyle w:val="lfej"/>
        <w:jc w:val="both"/>
        <w:rPr>
          <w:szCs w:val="24"/>
        </w:rPr>
      </w:pPr>
    </w:p>
    <w:p w:rsidR="00B62764" w:rsidRDefault="00B62764" w:rsidP="00445411">
      <w:pPr>
        <w:pStyle w:val="lfej"/>
        <w:jc w:val="both"/>
        <w:rPr>
          <w:b/>
          <w:sz w:val="20"/>
        </w:rPr>
      </w:pPr>
      <w:r>
        <w:t xml:space="preserve">A Bizottság angol megnevezése </w:t>
      </w:r>
      <w:r>
        <w:rPr>
          <w:b/>
          <w:sz w:val="20"/>
        </w:rPr>
        <w:t>SEMMELWEIS UNIVERSITY REGIONAL AND INSTITUTIONAL COMMITTEE OF SCIENCE AND RESEARCH ETHICS.</w:t>
      </w:r>
    </w:p>
    <w:p w:rsidR="00445411" w:rsidRDefault="00445411">
      <w:pPr>
        <w:jc w:val="both"/>
      </w:pPr>
    </w:p>
    <w:p w:rsidR="00B62764" w:rsidRDefault="00B62764">
      <w:pPr>
        <w:jc w:val="both"/>
      </w:pPr>
      <w:r>
        <w:t>A Semmelweis Egyetem TUKEB a Semmelweis Egyetem Igazságügyi Orvostani Intézetében működik, cím: 1091 Budapest, Üllői út 93.</w:t>
      </w:r>
    </w:p>
    <w:p w:rsidR="00B62764" w:rsidRDefault="00B62764">
      <w:pPr>
        <w:jc w:val="both"/>
      </w:pPr>
    </w:p>
    <w:p w:rsidR="00537B58" w:rsidRDefault="00B62764">
      <w:pPr>
        <w:jc w:val="both"/>
        <w:rPr>
          <w:rFonts w:ascii="Arial" w:hAnsi="Arial"/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/>
            <w:b/>
          </w:rPr>
          <w:t>2.</w:t>
        </w:r>
        <w:r>
          <w:t xml:space="preserve"> A</w:t>
        </w:r>
      </w:smartTag>
      <w:r>
        <w:t xml:space="preserve"> Semmelweis Egyetem TUKEB ellátja a Semmelweis Egyetemen és intézményeiben folyó </w:t>
      </w:r>
      <w:r w:rsidR="00445411" w:rsidRPr="0073085A">
        <w:rPr>
          <w:color w:val="000000"/>
        </w:rPr>
        <w:t xml:space="preserve">orvostudományi </w:t>
      </w:r>
      <w:r w:rsidRPr="0073085A">
        <w:rPr>
          <w:color w:val="000000"/>
        </w:rPr>
        <w:t xml:space="preserve">kutatásokkal </w:t>
      </w:r>
      <w:r w:rsidR="00445411" w:rsidRPr="0073085A">
        <w:rPr>
          <w:color w:val="000000"/>
        </w:rPr>
        <w:t xml:space="preserve">és klinikai vizsgálatokkal </w:t>
      </w:r>
      <w:r w:rsidRPr="0073085A">
        <w:rPr>
          <w:color w:val="000000"/>
        </w:rPr>
        <w:t xml:space="preserve">kapcsolatban az intézményi kutatásetikai bizottság feladatait, valamint az emberen végzett orvostudományi kutatásra vonatkozó 23/2002.(V.9.) EüM rendelet melléklete alapján a </w:t>
      </w:r>
      <w:r w:rsidR="00CD46DC" w:rsidRPr="00CD46DC">
        <w:rPr>
          <w:color w:val="000000"/>
        </w:rPr>
        <w:t xml:space="preserve">Semmelweis Egyetem és intézményei, Pest megyei és az </w:t>
      </w:r>
      <w:r w:rsidR="003B1C86">
        <w:rPr>
          <w:color w:val="000000"/>
        </w:rPr>
        <w:t>egészségügyért felelős miniszter által vezetett minisztériumnak</w:t>
      </w:r>
      <w:r w:rsidR="00CD46DC" w:rsidRPr="00CD46DC">
        <w:rPr>
          <w:color w:val="000000"/>
        </w:rPr>
        <w:t xml:space="preserve"> a főváros területén lévő közvetlen felügyelete alatt álló egészségügyi intézmények</w:t>
      </w:r>
      <w:r>
        <w:t xml:space="preserve"> tekintetében a regionális kutatásetikai bizottság feladatait. </w:t>
      </w:r>
    </w:p>
    <w:p w:rsidR="00537B58" w:rsidRDefault="00537B58">
      <w:pPr>
        <w:jc w:val="both"/>
        <w:rPr>
          <w:rFonts w:ascii="Arial" w:hAnsi="Arial"/>
          <w:b/>
        </w:rPr>
      </w:pPr>
    </w:p>
    <w:p w:rsidR="00537B58" w:rsidRPr="00537B58" w:rsidRDefault="00B62764" w:rsidP="00537B58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/>
            <w:b/>
          </w:rPr>
          <w:t>3</w:t>
        </w:r>
        <w:r w:rsidRPr="0073085A">
          <w:rPr>
            <w:rFonts w:ascii="Arial" w:hAnsi="Arial"/>
          </w:rPr>
          <w:t>.</w:t>
        </w:r>
        <w:r w:rsidRPr="0073085A">
          <w:t xml:space="preserve"> A</w:t>
        </w:r>
      </w:smartTag>
      <w:r w:rsidRPr="0073085A">
        <w:t xml:space="preserve"> Semmelweis Egyetem TUKEB regionális kutatásetikai feladatai körében szakmai-etikai véleményt ad minden olyan, emberen végzett kutatással kapcsolatban, amely esetében a jogszabály nem írja elő, hogy </w:t>
      </w:r>
      <w:r w:rsidR="00537B58" w:rsidRPr="00537B58">
        <w:t xml:space="preserve">az engedélyezés során az </w:t>
      </w:r>
      <w:r w:rsidR="00537B58" w:rsidRPr="0073085A">
        <w:t>Egészségügyi Tudományos Tanács Tudomán</w:t>
      </w:r>
      <w:r w:rsidR="00537B58">
        <w:t>yos és Kutatásetikai Bizottsága (</w:t>
      </w:r>
      <w:r w:rsidR="00537B58" w:rsidRPr="00537B58">
        <w:t>ETT TUKEB</w:t>
      </w:r>
      <w:r w:rsidR="00537B58">
        <w:t>)</w:t>
      </w:r>
      <w:r w:rsidR="00537B58" w:rsidRPr="00537B58">
        <w:t xml:space="preserve">, </w:t>
      </w:r>
      <w:r w:rsidR="005A1862">
        <w:t xml:space="preserve">Klinikai és Farmakológia Bizottsága (ETT KFEB), vagy </w:t>
      </w:r>
      <w:r w:rsidR="00537B58" w:rsidRPr="00537B58">
        <w:t xml:space="preserve"> </w:t>
      </w:r>
      <w:r w:rsidR="00537B58" w:rsidRPr="0073085A">
        <w:t xml:space="preserve">Humán Reprodukciós Bizottsága </w:t>
      </w:r>
      <w:r w:rsidR="00537B58">
        <w:t>(</w:t>
      </w:r>
      <w:r w:rsidR="00537B58" w:rsidRPr="00537B58">
        <w:t>ETT HRB</w:t>
      </w:r>
      <w:r w:rsidR="00537B58">
        <w:t>)</w:t>
      </w:r>
      <w:r w:rsidR="00537B58" w:rsidRPr="00537B58">
        <w:t xml:space="preserve"> jár el szakhatóságként</w:t>
      </w:r>
      <w:r w:rsidR="00537B58">
        <w:t>.</w:t>
      </w:r>
      <w:r w:rsidR="00EE5C9C">
        <w:t xml:space="preserve"> </w:t>
      </w:r>
    </w:p>
    <w:p w:rsidR="00B62764" w:rsidRPr="0073085A" w:rsidRDefault="00B62764">
      <w:pPr>
        <w:jc w:val="both"/>
      </w:pPr>
    </w:p>
    <w:p w:rsidR="00B62764" w:rsidRDefault="00B62764">
      <w:pPr>
        <w:jc w:val="both"/>
      </w:pPr>
      <w:r>
        <w:rPr>
          <w:rFonts w:ascii="Arial" w:hAnsi="Arial"/>
          <w:b/>
        </w:rPr>
        <w:t>4.</w:t>
      </w:r>
      <w:r>
        <w:t xml:space="preserve"> A Semmelweis Egyetem TUKEB </w:t>
      </w:r>
      <w:r w:rsidRPr="0073085A">
        <w:t>intézményi kutatásetikai feladatai</w:t>
      </w:r>
      <w:r>
        <w:t xml:space="preserve"> keretében</w:t>
      </w:r>
    </w:p>
    <w:p w:rsidR="00B62764" w:rsidRDefault="00B62764">
      <w:pPr>
        <w:jc w:val="both"/>
      </w:pPr>
    </w:p>
    <w:p w:rsidR="00C9211E" w:rsidRPr="00D71C7D" w:rsidRDefault="00C9211E" w:rsidP="00C9211E">
      <w:pPr>
        <w:numPr>
          <w:ilvl w:val="0"/>
          <w:numId w:val="5"/>
        </w:numPr>
        <w:jc w:val="both"/>
        <w:rPr>
          <w:szCs w:val="24"/>
        </w:rPr>
      </w:pPr>
      <w:r w:rsidRPr="00D71C7D">
        <w:rPr>
          <w:szCs w:val="24"/>
        </w:rPr>
        <w:t>az emberen végzett orvostudományi kutatásra vonatkozó 23/2002.(V.9.) EüM rendelet hatálya alá tartozó kutatások tekintetében:</w:t>
      </w:r>
    </w:p>
    <w:p w:rsidR="00C9211E" w:rsidRPr="00D71C7D" w:rsidRDefault="00C9211E" w:rsidP="00C9211E">
      <w:pPr>
        <w:jc w:val="both"/>
        <w:rPr>
          <w:szCs w:val="24"/>
        </w:rPr>
      </w:pPr>
    </w:p>
    <w:p w:rsidR="00B62764" w:rsidRPr="001B11EF" w:rsidRDefault="00B62764" w:rsidP="00C9211E">
      <w:pPr>
        <w:numPr>
          <w:ilvl w:val="1"/>
          <w:numId w:val="5"/>
        </w:numPr>
        <w:jc w:val="both"/>
      </w:pPr>
      <w:r w:rsidRPr="001B11EF">
        <w:rPr>
          <w:szCs w:val="24"/>
        </w:rPr>
        <w:t>véleményezi a Semmelwe</w:t>
      </w:r>
      <w:r w:rsidR="002C071B" w:rsidRPr="001B11EF">
        <w:rPr>
          <w:szCs w:val="24"/>
        </w:rPr>
        <w:t xml:space="preserve">is Egyetemen és intézményeiben </w:t>
      </w:r>
      <w:r w:rsidRPr="001B11EF">
        <w:rPr>
          <w:szCs w:val="24"/>
        </w:rPr>
        <w:t xml:space="preserve">folyó </w:t>
      </w:r>
      <w:r w:rsidR="00C9211E" w:rsidRPr="001B11EF">
        <w:rPr>
          <w:szCs w:val="24"/>
        </w:rPr>
        <w:t>orvostudományi</w:t>
      </w:r>
      <w:r w:rsidR="00C9211E" w:rsidRPr="001B11EF">
        <w:t xml:space="preserve"> </w:t>
      </w:r>
      <w:r w:rsidRPr="001B11EF">
        <w:t>kutatásokat abból a szempontból, hogy az intézmény személyi és tárgyi feltételei a kutatás végzésére megfelelőek-e,</w:t>
      </w:r>
    </w:p>
    <w:p w:rsidR="00B62764" w:rsidRDefault="005A1862" w:rsidP="00C9211E">
      <w:pPr>
        <w:numPr>
          <w:ilvl w:val="1"/>
          <w:numId w:val="5"/>
        </w:numPr>
        <w:jc w:val="both"/>
      </w:pPr>
      <w:r>
        <w:t>figyelemmel kíséri</w:t>
      </w:r>
      <w:r w:rsidR="00B62764" w:rsidRPr="00D71C7D">
        <w:t>, hogy a kutatást az engedélyben és a kutatási terven előírtaknak me</w:t>
      </w:r>
      <w:r w:rsidR="00B62764">
        <w:t xml:space="preserve">gfelelően folytatják-e le, a részvető tájékoztatás és a beleegyező nyilatkozat megfelel-e a jogszabályban foglalt követelményeknek, a vizsgálatban résztvevők kiválasztásának módja az engedélyben foglaltaknak megfelel-e, a résztvevők személyes adatai kezelésénél jogszerűen járnak-e el, a cselekvőképtelen vagy </w:t>
      </w:r>
      <w:r w:rsidR="00B62764">
        <w:lastRenderedPageBreak/>
        <w:t xml:space="preserve">korlátozottan cselekvőképes személy bevonásával tervezett kutatás esetében a jogszabályban foglaltak megvalósulnak-e, </w:t>
      </w:r>
    </w:p>
    <w:p w:rsidR="00B62764" w:rsidRDefault="00B62764">
      <w:pPr>
        <w:jc w:val="both"/>
      </w:pPr>
    </w:p>
    <w:p w:rsidR="005A1862" w:rsidRDefault="005A1862" w:rsidP="005A1862">
      <w:pPr>
        <w:numPr>
          <w:ilvl w:val="0"/>
          <w:numId w:val="11"/>
        </w:numPr>
        <w:jc w:val="both"/>
      </w:pPr>
      <w:r>
        <w:t>jelzéssel él</w:t>
      </w:r>
      <w:r w:rsidRPr="005A1862">
        <w:t xml:space="preserve"> az engedélyező felé, ha megítélésük szerint a kutatást az engedélyben, illetve a kutatási tervben előírtaktól eltérően folytatják.</w:t>
      </w:r>
    </w:p>
    <w:p w:rsidR="005A1862" w:rsidRDefault="005A1862" w:rsidP="005A1862">
      <w:pPr>
        <w:ind w:left="360"/>
        <w:jc w:val="both"/>
      </w:pPr>
    </w:p>
    <w:p w:rsidR="005A1862" w:rsidRPr="005A1862" w:rsidRDefault="005A1862" w:rsidP="005A1862">
      <w:pPr>
        <w:numPr>
          <w:ilvl w:val="0"/>
          <w:numId w:val="11"/>
        </w:numPr>
        <w:jc w:val="both"/>
      </w:pPr>
      <w:r>
        <w:t>a</w:t>
      </w:r>
      <w:r w:rsidRPr="005A1862">
        <w:t>z intézményben folyó kutatásban résztvevők érdekeinek védelméről az IKEB elnöke által az IKEB tagjai közül kijelölt független, a kutatásban részt nem vevő orvos gondoskodik. A kijelölt orvos folyamatosan figyelemmel kíséri a kutatás menetét, továbbá rendszeres kapcsolatot tart a vizsgálatba bevont személyekkel, részükre tájékoztatást, szakmai segítséget nyújt.</w:t>
      </w:r>
    </w:p>
    <w:p w:rsidR="005A1862" w:rsidRDefault="005A1862" w:rsidP="005A1862">
      <w:pPr>
        <w:ind w:left="360"/>
        <w:jc w:val="both"/>
      </w:pPr>
    </w:p>
    <w:p w:rsidR="0086743B" w:rsidRPr="0086743B" w:rsidRDefault="0086743B" w:rsidP="005A1862">
      <w:pPr>
        <w:numPr>
          <w:ilvl w:val="0"/>
          <w:numId w:val="11"/>
        </w:numPr>
        <w:jc w:val="both"/>
      </w:pPr>
      <w:r>
        <w:t>a</w:t>
      </w:r>
      <w:r w:rsidRPr="0086743B">
        <w:t xml:space="preserve"> kutatás vezetője a kutatás megkezdésétől kezdve minden második év végén, valamint a kutatás befejezését követő 15 napon belül jelentést küld IKEB-nek</w:t>
      </w:r>
      <w:r>
        <w:t xml:space="preserve">, melyben </w:t>
      </w:r>
      <w:r w:rsidRPr="0086743B">
        <w:t>beszámol a kutatás tapasztalatairól, a ténylegesen bevont betegek számáról, az előfordult nem kívánatos és súlyos nem kívánatos eseményekről. A kutatás akkor tekinthető befejezettnek, ha minden beteg - kutatási terv szerinti - utolsó észlelése megtörtént.</w:t>
      </w:r>
    </w:p>
    <w:p w:rsidR="00B62764" w:rsidRDefault="00B62764">
      <w:pPr>
        <w:jc w:val="both"/>
        <w:rPr>
          <w:rFonts w:ascii="Arial" w:hAnsi="Arial"/>
          <w:b/>
        </w:rPr>
      </w:pPr>
    </w:p>
    <w:p w:rsidR="00C9211E" w:rsidRDefault="00F558EB" w:rsidP="00C9211E">
      <w:pPr>
        <w:numPr>
          <w:ilvl w:val="0"/>
          <w:numId w:val="5"/>
        </w:numPr>
        <w:jc w:val="both"/>
      </w:pPr>
      <w:r>
        <w:t>a</w:t>
      </w:r>
      <w:r w:rsidR="00C9211E" w:rsidRPr="00C9211E">
        <w:t xml:space="preserve">z emberi felhasználásra kerülő vizsgálati készítmények klinikai vizsgálatáról és a helyes klinikai gyakorlat alkalmazásáról </w:t>
      </w:r>
      <w:r w:rsidR="00C9211E" w:rsidRPr="00D71C7D">
        <w:rPr>
          <w:szCs w:val="24"/>
        </w:rPr>
        <w:t>szóló 35/2005. (VIII. 26.) EüM rendelet hatálya</w:t>
      </w:r>
      <w:r w:rsidR="00C9211E">
        <w:t xml:space="preserve"> alá tartozó kutatások tekintetében: </w:t>
      </w:r>
    </w:p>
    <w:p w:rsidR="0086743B" w:rsidRDefault="0086743B" w:rsidP="0086743B">
      <w:pPr>
        <w:jc w:val="both"/>
      </w:pPr>
    </w:p>
    <w:p w:rsidR="0086743B" w:rsidRDefault="0086743B" w:rsidP="0086743B">
      <w:pPr>
        <w:numPr>
          <w:ilvl w:val="1"/>
          <w:numId w:val="5"/>
        </w:numPr>
        <w:jc w:val="both"/>
      </w:pPr>
      <w:r w:rsidRPr="0086743B">
        <w:t>feladata annak ellenőrzése és figyelemmel kísérése, hogy az engedélyezett és etikai szempontból elfogadott kutatás megvalósítása során biztosítva vannak-e a személyi és tárgyi feltételek, és betartják-e a kutatási tervben foglalt előírásokat, etikai követelményeket, különös tekintettel a kutatásba bevontak védelmére.</w:t>
      </w:r>
    </w:p>
    <w:p w:rsidR="00F558EB" w:rsidRDefault="00F558EB" w:rsidP="00C9211E">
      <w:pPr>
        <w:numPr>
          <w:ilvl w:val="1"/>
          <w:numId w:val="5"/>
        </w:numPr>
        <w:jc w:val="both"/>
      </w:pPr>
      <w:bookmarkStart w:id="2" w:name="pr112"/>
      <w:r>
        <w:t>a vizsgálati alanyok jogainak, biztonságának védelme érdekében figyelemmel kíséri a a vizsgálati tervben előírtak végrehajtását, a hatósági engedélyben, illetve az ETT KFEB véleményében foglaltak helyszíni megvalósítását</w:t>
      </w:r>
      <w:r w:rsidR="00425636">
        <w:t>;</w:t>
      </w:r>
    </w:p>
    <w:p w:rsidR="00F558EB" w:rsidRDefault="00A70193" w:rsidP="00C9211E">
      <w:pPr>
        <w:numPr>
          <w:ilvl w:val="1"/>
          <w:numId w:val="5"/>
        </w:numPr>
        <w:jc w:val="both"/>
      </w:pPr>
      <w:bookmarkStart w:id="3" w:name="pr183"/>
      <w:bookmarkEnd w:id="2"/>
      <w:r>
        <w:t>panasszal fordulhat az OGY</w:t>
      </w:r>
      <w:r w:rsidR="00537E30">
        <w:t>É</w:t>
      </w:r>
      <w:r>
        <w:t>I-h</w:t>
      </w:r>
      <w:r w:rsidR="00537E30">
        <w:t>e</w:t>
      </w:r>
      <w:r>
        <w:t>z, ha megítélése szerint a klinikai vizsgálatot az engedélyben, illetve a vizsgálati tervben előírtaktól eltérően folytatják</w:t>
      </w:r>
      <w:r w:rsidR="00B911DD">
        <w:t xml:space="preserve">; </w:t>
      </w:r>
      <w:r>
        <w:t>észrevételeit a vizsgálatvezetővel és a szolgáltató vezetőjével is közölheti, továbbá észrevételeit megküldheti az ETT KFEB-nek, amely indokolt esetben az OGY</w:t>
      </w:r>
      <w:r w:rsidR="00537E30">
        <w:t>É</w:t>
      </w:r>
      <w:r>
        <w:t>I-n</w:t>
      </w:r>
      <w:r w:rsidR="00537E30">
        <w:t>é</w:t>
      </w:r>
      <w:r>
        <w:t>l ellenőrzést kezdeményez</w:t>
      </w:r>
      <w:bookmarkEnd w:id="3"/>
      <w:r w:rsidR="00425636">
        <w:t xml:space="preserve">; </w:t>
      </w:r>
    </w:p>
    <w:p w:rsidR="00B911DD" w:rsidRDefault="00B911DD" w:rsidP="00C9211E">
      <w:pPr>
        <w:numPr>
          <w:ilvl w:val="1"/>
          <w:numId w:val="5"/>
        </w:numPr>
        <w:jc w:val="both"/>
      </w:pPr>
      <w:bookmarkStart w:id="4" w:name="pr198"/>
      <w:r>
        <w:t>a vizsgáló minden súlyos nemkívánatos eseményről haladéktalanul értesíti</w:t>
      </w:r>
      <w:r w:rsidR="00AD1F03">
        <w:t xml:space="preserve">, majd részletes írásbeli </w:t>
      </w:r>
      <w:r w:rsidR="00AD1F03" w:rsidRPr="004573DE">
        <w:t>jel</w:t>
      </w:r>
      <w:r w:rsidR="004573DE" w:rsidRPr="004573DE">
        <w:t>e</w:t>
      </w:r>
      <w:r w:rsidR="00AD1F03" w:rsidRPr="004573DE">
        <w:t>ntést</w:t>
      </w:r>
      <w:r w:rsidR="00AD1F03">
        <w:t xml:space="preserve"> küld</w:t>
      </w:r>
      <w:r>
        <w:t xml:space="preserve"> a Bizottság</w:t>
      </w:r>
      <w:r w:rsidR="00AD1F03">
        <w:t xml:space="preserve"> részére</w:t>
      </w:r>
      <w:r>
        <w:t>, kivéve azokat, amelyek a vizsgálati terv vagy a vizsgálók részére összeállított ismertető szerint nem minősülnek azonnal jelentendőknek</w:t>
      </w:r>
      <w:r w:rsidR="00616597">
        <w:t xml:space="preserve">, ezeket </w:t>
      </w:r>
      <w:r w:rsidR="00425636">
        <w:t>a Semmelweis Egyetem TUKEB figyelemmel kíséri;</w:t>
      </w:r>
    </w:p>
    <w:p w:rsidR="00B911DD" w:rsidRDefault="00B911DD" w:rsidP="00B911DD">
      <w:pPr>
        <w:numPr>
          <w:ilvl w:val="1"/>
          <w:numId w:val="5"/>
        </w:numPr>
        <w:jc w:val="both"/>
      </w:pPr>
      <w:r>
        <w:t>a vizsgáló a haladéktalan értesítést követően az eseményről részletes írásos jelentést küld a Bizottságnak</w:t>
      </w:r>
      <w:bookmarkEnd w:id="4"/>
      <w:r w:rsidR="00425636">
        <w:t>, ezeket a jelentéseket a Semmelweis Egyetem TUKEB figyelemmel kíséri¿</w:t>
      </w:r>
    </w:p>
    <w:p w:rsidR="00C9211E" w:rsidRDefault="00212CF7" w:rsidP="00B911DD">
      <w:pPr>
        <w:numPr>
          <w:ilvl w:val="1"/>
          <w:numId w:val="5"/>
        </w:numPr>
        <w:jc w:val="both"/>
      </w:pPr>
      <w:bookmarkStart w:id="5" w:name="pr111"/>
      <w:r>
        <w:t>befogadja azokat a klin</w:t>
      </w:r>
      <w:r w:rsidR="0086743B">
        <w:t>i</w:t>
      </w:r>
      <w:r>
        <w:t xml:space="preserve">kai vizsgálatokat, amelyeket olyan szolgáltató kíván végezni, amely az Eütv. </w:t>
      </w:r>
      <w:r w:rsidR="00425636">
        <w:t>értelmében</w:t>
      </w:r>
      <w:r>
        <w:t xml:space="preserve"> nem minősül egészségügyi intézménynek, abban az esetben, ha a vizsgálatot végezni kívánó</w:t>
      </w:r>
      <w:r w:rsidR="00425636">
        <w:t xml:space="preserve"> </w:t>
      </w:r>
      <w:r w:rsidR="0086743B">
        <w:t xml:space="preserve">egészségügyi </w:t>
      </w:r>
      <w:r w:rsidR="00425636">
        <w:t>szolgáltató székhelye</w:t>
      </w:r>
      <w:r>
        <w:t xml:space="preserve"> az Egyetem </w:t>
      </w:r>
      <w:r w:rsidR="0086743B">
        <w:t xml:space="preserve">sürgősségi ellátási területén </w:t>
      </w:r>
      <w:r w:rsidR="00F86646" w:rsidRPr="00F86646">
        <w:t>található</w:t>
      </w:r>
      <w:bookmarkEnd w:id="5"/>
      <w:r w:rsidR="0086743B">
        <w:t>.</w:t>
      </w:r>
    </w:p>
    <w:p w:rsidR="00BF23C9" w:rsidRDefault="00BF23C9" w:rsidP="00BF23C9">
      <w:pPr>
        <w:jc w:val="both"/>
      </w:pPr>
    </w:p>
    <w:p w:rsidR="00BF23C9" w:rsidRDefault="00BF23C9" w:rsidP="00BF23C9">
      <w:pPr>
        <w:jc w:val="both"/>
      </w:pPr>
      <w:r w:rsidRPr="00CE59ED">
        <w:rPr>
          <w:b/>
        </w:rPr>
        <w:t>5.</w:t>
      </w:r>
      <w:r>
        <w:t xml:space="preserve"> A Semmelweis Egyetemen és Intézményeiben az orvostudományi kutatások és klinikai vizsgálatok a Semmelweis Egyetem TUKEB-jéhez, a rendeletben megadottak szerinti bejelentési kötelezettség után kezdhetők meg.</w:t>
      </w:r>
    </w:p>
    <w:p w:rsidR="00CE59ED" w:rsidRDefault="00CE59ED">
      <w:pPr>
        <w:jc w:val="both"/>
        <w:rPr>
          <w:rFonts w:ascii="Arial" w:hAnsi="Arial"/>
          <w:b/>
        </w:rPr>
      </w:pPr>
    </w:p>
    <w:p w:rsidR="00B62764" w:rsidRDefault="00BF23C9" w:rsidP="00A158A7">
      <w:pPr>
        <w:jc w:val="both"/>
      </w:pPr>
      <w:r>
        <w:rPr>
          <w:rFonts w:ascii="Arial" w:hAnsi="Arial"/>
          <w:b/>
        </w:rPr>
        <w:lastRenderedPageBreak/>
        <w:t>6</w:t>
      </w:r>
      <w:r w:rsidR="00B62764">
        <w:rPr>
          <w:rFonts w:ascii="Arial" w:hAnsi="Arial"/>
          <w:b/>
        </w:rPr>
        <w:t>.</w:t>
      </w:r>
      <w:r w:rsidR="00B62764">
        <w:t xml:space="preserve"> A bizottság létszáma 16 fő, ebből 12 fő orvos, 2 fő jogász, 1 fő szakdolgozó, 1 fő laikus.</w:t>
      </w:r>
    </w:p>
    <w:p w:rsidR="00B62764" w:rsidRDefault="00B62764">
      <w:pPr>
        <w:jc w:val="both"/>
      </w:pPr>
      <w:r>
        <w:t>A</w:t>
      </w:r>
      <w:r w:rsidR="00615ABC">
        <w:t xml:space="preserve"> Semmelweis Egyetem TUKEB</w:t>
      </w:r>
      <w:r>
        <w:t xml:space="preserve"> tisztségviselői az elnök és a titkár.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t>A Semmelweis Egyetem TUKEB elnökét, titkárát és tagjait a Semmelweis Egyetem rektora nevezi ki 4 éves időtartamra, a megbízatás annak lejárta előtt meghosszabbítható. A Semmelweis Egyetem TUKEB személyi összetételét az egészségügyről szóló 1997. évi CLIV törvény 159. §-ának (6) bekezdése szerint kell összeállítani.</w:t>
      </w:r>
    </w:p>
    <w:p w:rsidR="00B62764" w:rsidRDefault="00B62764">
      <w:pPr>
        <w:jc w:val="both"/>
      </w:pPr>
    </w:p>
    <w:p w:rsidR="00B62764" w:rsidRDefault="000C4C4D">
      <w:pPr>
        <w:jc w:val="both"/>
      </w:pPr>
      <w:r>
        <w:t xml:space="preserve">A Semmelweis Egyetem TUKEB </w:t>
      </w:r>
      <w:r w:rsidR="00B62764">
        <w:t>elnöke felelős a bizottság működésért, vezeti a bizottsági üléseket, képviseli a bizottságot.</w:t>
      </w:r>
    </w:p>
    <w:p w:rsidR="0086743B" w:rsidRDefault="0086743B"/>
    <w:p w:rsidR="00B62764" w:rsidRDefault="00B62764">
      <w:r>
        <w:t>A Bizott</w:t>
      </w:r>
      <w:r w:rsidR="000C4C4D">
        <w:t>ság munkájáról 2 évente az ET</w:t>
      </w:r>
      <w:r w:rsidR="00CE59ED">
        <w:t>T</w:t>
      </w:r>
      <w:r w:rsidR="000C4C4D">
        <w:t>-ne</w:t>
      </w:r>
      <w:r>
        <w:t xml:space="preserve">k be kell számolni. </w:t>
      </w:r>
    </w:p>
    <w:p w:rsidR="00B62764" w:rsidRDefault="00B62764">
      <w:pPr>
        <w:jc w:val="both"/>
      </w:pPr>
    </w:p>
    <w:p w:rsidR="0086743B" w:rsidRDefault="0086743B">
      <w:pPr>
        <w:jc w:val="both"/>
      </w:pPr>
      <w:r>
        <w:t>A Bizottság összetételét az ETT TUKEB hagyta jóvá.</w:t>
      </w:r>
    </w:p>
    <w:p w:rsidR="0086743B" w:rsidRDefault="0086743B" w:rsidP="00F1200D">
      <w:pPr>
        <w:jc w:val="both"/>
        <w:rPr>
          <w:rFonts w:ascii="Arial" w:hAnsi="Arial"/>
          <w:b/>
        </w:rPr>
      </w:pPr>
    </w:p>
    <w:p w:rsidR="00B62764" w:rsidRDefault="00BF23C9" w:rsidP="00F1200D">
      <w:pPr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/>
            <w:b/>
          </w:rPr>
          <w:t>7</w:t>
        </w:r>
        <w:r w:rsidR="00B62764">
          <w:rPr>
            <w:rFonts w:ascii="Arial" w:hAnsi="Arial"/>
            <w:b/>
          </w:rPr>
          <w:t xml:space="preserve">. </w:t>
        </w:r>
        <w:r w:rsidR="00B62764">
          <w:t>A</w:t>
        </w:r>
      </w:smartTag>
      <w:r w:rsidR="00B62764">
        <w:t xml:space="preserve"> Semmelweis Egyetem TUKEB elnöke </w:t>
      </w:r>
      <w:r w:rsidR="00425636" w:rsidRPr="00D71C7D">
        <w:rPr>
          <w:color w:val="000000"/>
        </w:rPr>
        <w:t>–</w:t>
      </w:r>
      <w:r w:rsidR="000946D5" w:rsidRPr="00D71C7D">
        <w:rPr>
          <w:color w:val="000000"/>
        </w:rPr>
        <w:t xml:space="preserve"> az emberen végzett orvostudományi kutatásra</w:t>
      </w:r>
      <w:r w:rsidR="000946D5">
        <w:t xml:space="preserve"> vonatkozó 23/2002.(V.9.) EüM rendelet hatálya alá tartozó kutatások esetében - </w:t>
      </w:r>
      <w:r w:rsidR="00B62764">
        <w:t xml:space="preserve">a bizottság tagjaiból jelöli ki azt a független – a kutatásban részt nem vevő – orvost, aki a résztvevők érdekeinek védelméről gondoskodik. </w:t>
      </w:r>
    </w:p>
    <w:p w:rsidR="00B62764" w:rsidRDefault="00B62764">
      <w:pPr>
        <w:jc w:val="both"/>
      </w:pPr>
    </w:p>
    <w:p w:rsidR="00B62764" w:rsidRDefault="00BF23C9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/>
            <w:b/>
          </w:rPr>
          <w:t>8</w:t>
        </w:r>
        <w:r w:rsidR="00B62764">
          <w:rPr>
            <w:rFonts w:ascii="Arial" w:hAnsi="Arial"/>
            <w:b/>
          </w:rPr>
          <w:t>.</w:t>
        </w:r>
        <w:r w:rsidR="00B62764">
          <w:t xml:space="preserve"> A</w:t>
        </w:r>
      </w:smartTag>
      <w:r w:rsidR="00B62764">
        <w:t xml:space="preserve"> Semmelweis Egyetem TUKEB tagság megszűnik: </w:t>
      </w:r>
    </w:p>
    <w:p w:rsidR="00B62764" w:rsidRDefault="00B62764">
      <w:pPr>
        <w:jc w:val="both"/>
      </w:pPr>
    </w:p>
    <w:p w:rsidR="00B62764" w:rsidRDefault="00B62764">
      <w:pPr>
        <w:numPr>
          <w:ilvl w:val="0"/>
          <w:numId w:val="1"/>
        </w:numPr>
        <w:tabs>
          <w:tab w:val="clear" w:pos="360"/>
          <w:tab w:val="num" w:pos="2127"/>
        </w:tabs>
        <w:ind w:firstLine="1341"/>
        <w:jc w:val="both"/>
      </w:pPr>
      <w:r>
        <w:t>a kinevezési idő lejártával</w:t>
      </w:r>
    </w:p>
    <w:p w:rsidR="00B62764" w:rsidRDefault="00B62764">
      <w:pPr>
        <w:numPr>
          <w:ilvl w:val="0"/>
          <w:numId w:val="1"/>
        </w:numPr>
        <w:tabs>
          <w:tab w:val="clear" w:pos="360"/>
          <w:tab w:val="num" w:pos="2127"/>
        </w:tabs>
        <w:ind w:left="426" w:firstLine="1275"/>
        <w:jc w:val="both"/>
      </w:pPr>
      <w:r>
        <w:t>lemondással</w:t>
      </w:r>
    </w:p>
    <w:p w:rsidR="00B62764" w:rsidRDefault="00B62764">
      <w:pPr>
        <w:numPr>
          <w:ilvl w:val="0"/>
          <w:numId w:val="1"/>
        </w:numPr>
        <w:tabs>
          <w:tab w:val="clear" w:pos="360"/>
          <w:tab w:val="num" w:pos="2127"/>
        </w:tabs>
        <w:ind w:left="2127" w:hanging="426"/>
        <w:jc w:val="both"/>
      </w:pPr>
      <w:r>
        <w:t xml:space="preserve">felmentéssel, ha a tag egy naptári évben az ülések több, mint felén nem vesz részt, </w:t>
      </w:r>
    </w:p>
    <w:p w:rsidR="00B62764" w:rsidRDefault="00B62764">
      <w:pPr>
        <w:numPr>
          <w:ilvl w:val="0"/>
          <w:numId w:val="1"/>
        </w:numPr>
        <w:tabs>
          <w:tab w:val="clear" w:pos="360"/>
          <w:tab w:val="num" w:pos="2127"/>
        </w:tabs>
        <w:ind w:firstLine="1341"/>
        <w:jc w:val="both"/>
      </w:pPr>
      <w:r>
        <w:t xml:space="preserve">a tag halálával. </w:t>
      </w:r>
    </w:p>
    <w:p w:rsidR="00B62764" w:rsidRDefault="00B62764">
      <w:pPr>
        <w:jc w:val="both"/>
      </w:pPr>
    </w:p>
    <w:p w:rsidR="00B62764" w:rsidRDefault="00B62764">
      <w:pPr>
        <w:pStyle w:val="Szvegtrzs"/>
      </w:pPr>
      <w:r>
        <w:t xml:space="preserve">A felmentést írásban a kinevező, illetve az Semmelweis Egyetem TUKEB tagjai közül bárki kezdeményezheti. </w:t>
      </w:r>
    </w:p>
    <w:p w:rsidR="00B62764" w:rsidRDefault="00B62764">
      <w:pPr>
        <w:jc w:val="both"/>
      </w:pPr>
    </w:p>
    <w:p w:rsidR="00B62764" w:rsidRDefault="00BF23C9">
      <w:pPr>
        <w:jc w:val="both"/>
      </w:pPr>
      <w:r>
        <w:rPr>
          <w:rFonts w:ascii="Arial" w:hAnsi="Arial"/>
          <w:b/>
        </w:rPr>
        <w:t>9</w:t>
      </w:r>
      <w:r w:rsidR="00B62764">
        <w:t xml:space="preserve"> Az elnök, a titkár és a tagok hozzájárulnak nevük, végzettségük és foglalkozásuk nyilvánosságra hozatalához. </w:t>
      </w:r>
    </w:p>
    <w:p w:rsidR="00B62764" w:rsidRDefault="00B62764">
      <w:pPr>
        <w:jc w:val="both"/>
      </w:pPr>
    </w:p>
    <w:p w:rsidR="00B62764" w:rsidRDefault="00BF23C9">
      <w:pPr>
        <w:jc w:val="both"/>
      </w:pPr>
      <w:r>
        <w:rPr>
          <w:rFonts w:ascii="Arial" w:hAnsi="Arial"/>
          <w:b/>
        </w:rPr>
        <w:t>10</w:t>
      </w:r>
      <w:r w:rsidR="00B62764">
        <w:t xml:space="preserve"> Ha az Semmelweis Egyetem TUKEB tagjai közül valaki az adott kutatásban érintett, ez – kizárólag az adott kutatás vonatkozásában – összeférhetetlenséget eredményez. A bizottsági tag az összeférhetetlenséget a bizottsági ülésen bejelenti, és az érintett kutatással kapcsolatos döntés meghozatalában nem vesz részt.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rPr>
          <w:rFonts w:ascii="Arial" w:hAnsi="Arial"/>
          <w:b/>
        </w:rPr>
        <w:t>1</w:t>
      </w:r>
      <w:r w:rsidR="00BF23C9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  <w:r>
        <w:t xml:space="preserve"> Az Semmelweis Egyetem TUKEB üléseit szükség szerint, de évente legalább 6 alkalommal tartja.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t xml:space="preserve">Az Semmelweis Egyetem TUKEB ülését az elnök hívja össze írásban, az ülést megelőzően legalább egy héttel. </w:t>
      </w:r>
    </w:p>
    <w:p w:rsidR="00B62764" w:rsidRDefault="00B62764">
      <w:pPr>
        <w:pStyle w:val="Szvegtrzs"/>
      </w:pPr>
      <w:r>
        <w:t xml:space="preserve">Amennyiben a bizottság tagjainak egy harmada rendkívüli ülés összehívását kezdeményezi írásban az elnöknél, az elnök köteles az ülést 15 napon belül összehívni.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t xml:space="preserve">Az ülésen a kérelmező is részt vehet, a tagok hozzá kérdést intézhetnek, azonban a szavazás során nem lehet jelen. </w:t>
      </w:r>
    </w:p>
    <w:p w:rsidR="00B62764" w:rsidRDefault="00B62764">
      <w:pPr>
        <w:jc w:val="both"/>
      </w:pPr>
    </w:p>
    <w:p w:rsidR="00B62764" w:rsidRDefault="00B62764">
      <w:pPr>
        <w:pStyle w:val="Szvegtrzs"/>
      </w:pPr>
      <w:r>
        <w:lastRenderedPageBreak/>
        <w:t xml:space="preserve">A levezető elnök az ülés megkezdésekor megállapítja a határozatképességet. Az Semmelweis Egyetem TUKEB akkor határozatképes, ha az ülésen legalább 8 fő részt vesz.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t xml:space="preserve">A beérkezett kutatási kérelmeket az elnök által kijelölt referens véleményezi. Az Semmelweis Egyetem TUKEB  feladata ellátásához külső szakértőket is igénybe vehet.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rPr>
          <w:rFonts w:ascii="Arial" w:hAnsi="Arial"/>
          <w:b/>
        </w:rPr>
        <w:t>1</w:t>
      </w:r>
      <w:r w:rsidR="00BF23C9">
        <w:rPr>
          <w:rFonts w:ascii="Arial" w:hAnsi="Arial"/>
          <w:b/>
        </w:rPr>
        <w:t>2</w:t>
      </w:r>
      <w:r>
        <w:rPr>
          <w:rFonts w:ascii="Arial" w:hAnsi="Arial"/>
          <w:b/>
        </w:rPr>
        <w:t>.</w:t>
      </w:r>
      <w:r>
        <w:t xml:space="preserve"> Regionális kutatásetikai feladatai körében az Semmelweis Egyetem TUKEB állást foglal </w:t>
      </w:r>
    </w:p>
    <w:p w:rsidR="00B62764" w:rsidRDefault="00B62764">
      <w:pPr>
        <w:jc w:val="both"/>
      </w:pP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a) </w:t>
      </w:r>
      <w:r>
        <w:t>a kutatás indokoltságáról, tudományos megalapozottságáról,</w:t>
      </w:r>
    </w:p>
    <w:p w:rsidR="00B62764" w:rsidRDefault="00B62764">
      <w:pPr>
        <w:autoSpaceDE w:val="0"/>
        <w:autoSpaceDN w:val="0"/>
        <w:adjustRightInd w:val="0"/>
        <w:ind w:left="567" w:hanging="363"/>
        <w:jc w:val="both"/>
      </w:pPr>
      <w:r>
        <w:rPr>
          <w:i/>
        </w:rPr>
        <w:t xml:space="preserve">b) </w:t>
      </w:r>
      <w:r>
        <w:t>arról, hogy a kutatási terv alapján a résztvevők mindegyike megkapja-e az egészségi állapota által indokolt egészségügyi ellátást,</w:t>
      </w:r>
    </w:p>
    <w:p w:rsidR="00B62764" w:rsidRDefault="00B62764">
      <w:pPr>
        <w:autoSpaceDE w:val="0"/>
        <w:autoSpaceDN w:val="0"/>
        <w:adjustRightInd w:val="0"/>
        <w:ind w:left="426" w:hanging="222"/>
        <w:jc w:val="both"/>
      </w:pPr>
      <w:r>
        <w:rPr>
          <w:i/>
        </w:rPr>
        <w:t xml:space="preserve">c) </w:t>
      </w:r>
      <w:r>
        <w:t>a várható előnyök és kockázatok előzetes becslésének megfelelőségéről, a résztvevőket fenyegető kockázatok és a kutatás várható eredményének arányosságáról,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d) </w:t>
      </w:r>
      <w:r>
        <w:t>a kutatás vezetőjének szakmai alkalmasságáról,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e) </w:t>
      </w:r>
      <w:r>
        <w:t>az egészségügyi intézmény tárgyi feltételeinek megfelelőségéről,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f) </w:t>
      </w:r>
      <w:r>
        <w:t>az írásos tájékoztató megfelelőségéről, teljeskörűségéről,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g) </w:t>
      </w:r>
      <w:r>
        <w:t>a beleegyező nyilatkozat megfelelőségéről,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h) </w:t>
      </w:r>
      <w:r>
        <w:t>az esetleges placebo csoport alkalmazásának indokoltságáról,</w:t>
      </w:r>
    </w:p>
    <w:p w:rsidR="00B62764" w:rsidRDefault="00B62764">
      <w:pPr>
        <w:autoSpaceDE w:val="0"/>
        <w:autoSpaceDN w:val="0"/>
        <w:adjustRightInd w:val="0"/>
        <w:ind w:left="426" w:hanging="222"/>
        <w:jc w:val="both"/>
      </w:pPr>
      <w:r>
        <w:rPr>
          <w:i/>
        </w:rPr>
        <w:t xml:space="preserve">i) </w:t>
      </w:r>
      <w:r>
        <w:t>arról, hogy a biztosítás megfelelő fedezetet nyújt-e a kutatással kapcsolatosan esetlegesen érvényesítendő kártérítési követelésekre,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j) </w:t>
      </w:r>
      <w:r>
        <w:t>a kutatásban résztvevők számára fizetendő költségtérítésről,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k) </w:t>
      </w:r>
      <w:r>
        <w:t>a kutatásban résztvevők toborzásának és beválasztásának módjáról és feltételeiről,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l) </w:t>
      </w:r>
      <w:r>
        <w:t>a kutatás során nyert adatok statisztikai feldolgozásának módszeréről,</w:t>
      </w:r>
    </w:p>
    <w:p w:rsidR="00B62764" w:rsidRDefault="00B62764">
      <w:pPr>
        <w:autoSpaceDE w:val="0"/>
        <w:autoSpaceDN w:val="0"/>
        <w:adjustRightInd w:val="0"/>
        <w:ind w:left="567" w:hanging="363"/>
        <w:jc w:val="both"/>
      </w:pPr>
      <w:r>
        <w:rPr>
          <w:i/>
        </w:rPr>
        <w:t xml:space="preserve">m) </w:t>
      </w:r>
      <w:r>
        <w:t>ha a kutatást állapotos, szabadságában korlátozott, korlátozottan cselekvőképes vagy cselekvőképtelen személyen is végzik, ezek bevonásának indokoltságáról és érdekeik védelmének megfelelőségéről,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n) </w:t>
      </w:r>
      <w:r>
        <w:t>a kutatás vezetőjének és a kutatásban közreműködőknek a díjazásáról,</w:t>
      </w:r>
    </w:p>
    <w:p w:rsidR="00B62764" w:rsidRDefault="00B62764">
      <w:pPr>
        <w:autoSpaceDE w:val="0"/>
        <w:autoSpaceDN w:val="0"/>
        <w:adjustRightInd w:val="0"/>
        <w:ind w:firstLine="204"/>
        <w:jc w:val="both"/>
      </w:pPr>
      <w:r>
        <w:rPr>
          <w:i/>
        </w:rPr>
        <w:t xml:space="preserve">o) </w:t>
      </w:r>
      <w:r>
        <w:t>a résztvevők személyes adatai kezelésének jogszerűségéről.</w:t>
      </w:r>
    </w:p>
    <w:p w:rsidR="00B62764" w:rsidRDefault="00B62764">
      <w:pPr>
        <w:jc w:val="both"/>
      </w:pPr>
    </w:p>
    <w:p w:rsidR="00B62764" w:rsidRPr="007E064D" w:rsidRDefault="00B62764" w:rsidP="00DA238E">
      <w:pPr>
        <w:jc w:val="both"/>
      </w:pPr>
      <w:r w:rsidRPr="007E064D">
        <w:rPr>
          <w:color w:val="000000"/>
        </w:rPr>
        <w:t xml:space="preserve">Az Semmelweis Egyetem TUKEB intézményi kutatásetikai feladatai </w:t>
      </w:r>
      <w:r w:rsidRPr="007E064D">
        <w:t xml:space="preserve">körében </w:t>
      </w:r>
      <w:r w:rsidR="000946D5" w:rsidRPr="007E064D">
        <w:t xml:space="preserve">- az emberen végzett orvostudományi kutatásra vonatkozó 23/2002.(V.9.) EüM rendelet hatálya alá tartozó kutatások tekintetében - </w:t>
      </w:r>
      <w:r w:rsidRPr="007E064D">
        <w:t xml:space="preserve">állást foglal arról, hogy az intézmény tárgyi és személyi feltételei a kutatás végzésére megfelelők-e. </w:t>
      </w:r>
      <w:r w:rsidR="00DA238E" w:rsidRPr="007E064D">
        <w:t xml:space="preserve">Az emberi felhasználásra kerülő vizsgálati készítmények klinikai vizsgálatáról és a helyes klinikai gyakorlat alkalmazásáról szóló 35/2005. (VIII. 26.) EüM rendelet hatálya alá tartozó kutatások tekintetében a Semmelweis Egyetem TUKEB engedélyt, véleményt nem ad ki.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rPr>
          <w:rFonts w:ascii="Arial" w:hAnsi="Arial"/>
          <w:b/>
        </w:rPr>
        <w:t>1</w:t>
      </w:r>
      <w:r w:rsidR="00BF23C9">
        <w:rPr>
          <w:rFonts w:ascii="Arial" w:hAnsi="Arial"/>
          <w:b/>
        </w:rPr>
        <w:t>3</w:t>
      </w:r>
      <w:r>
        <w:rPr>
          <w:rFonts w:ascii="Arial" w:hAnsi="Arial"/>
          <w:b/>
        </w:rPr>
        <w:t>.</w:t>
      </w:r>
      <w:r>
        <w:t xml:space="preserve"> A határozat meghozatalához egyetértés szükséges. Egyetértés hiánya esetén az ellenvéleményt indokolni kell. A döntéshozatalhoz ilyen esetben a jelenlévők felének, plusz egy főnek a szavazata szükséges. </w:t>
      </w:r>
    </w:p>
    <w:p w:rsidR="00B62764" w:rsidRDefault="00B62764">
      <w:pPr>
        <w:jc w:val="both"/>
      </w:pPr>
      <w:r>
        <w:t xml:space="preserve">A tagok szavazati jogukat csak személyesen gyakorolhatják. </w:t>
      </w:r>
    </w:p>
    <w:p w:rsidR="00B62764" w:rsidRDefault="00B62764">
      <w:pPr>
        <w:jc w:val="both"/>
      </w:pPr>
    </w:p>
    <w:p w:rsidR="00B62764" w:rsidRDefault="00B62764">
      <w:pPr>
        <w:jc w:val="both"/>
      </w:pPr>
      <w:r>
        <w:rPr>
          <w:rFonts w:ascii="Arial" w:hAnsi="Arial"/>
          <w:b/>
        </w:rPr>
        <w:t>1</w:t>
      </w:r>
      <w:r w:rsidR="00BF23C9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  <w:r>
        <w:t xml:space="preserve"> Az Semmelweis Egyetem TUKEB határozatait írásba kell foglalni. A határozatot az elnök írja alá. </w:t>
      </w:r>
    </w:p>
    <w:p w:rsidR="00B62764" w:rsidRDefault="00B62764">
      <w:pPr>
        <w:jc w:val="both"/>
      </w:pPr>
    </w:p>
    <w:p w:rsidR="00B62764" w:rsidRDefault="00B62764" w:rsidP="00F1200D">
      <w:pPr>
        <w:jc w:val="both"/>
      </w:pPr>
      <w:r>
        <w:t xml:space="preserve">A határozatban a bizottság nyilatkozik a kutatás etikai megfelelőségéről, a megfelelőséghez szükséges esetleges módosításokról vagy kiegészítésekről, illetve meg nem felelésről. A véleményben feltünteti az áttekintett dokumentumok listáját, valamint az ülésen és a szavazásban részt vett bizottsági tagok névsorát. </w:t>
      </w:r>
    </w:p>
    <w:p w:rsidR="00B62764" w:rsidRDefault="00B62764">
      <w:pPr>
        <w:pStyle w:val="Szvegtrzs"/>
        <w:rPr>
          <w:rFonts w:ascii="Arial" w:hAnsi="Arial"/>
          <w:b/>
        </w:rPr>
      </w:pPr>
    </w:p>
    <w:p w:rsidR="003F0228" w:rsidRDefault="00B62764" w:rsidP="003F0228">
      <w:pPr>
        <w:pStyle w:val="Szvegtrzs"/>
      </w:pPr>
      <w:r>
        <w:rPr>
          <w:rFonts w:ascii="Arial" w:hAnsi="Arial"/>
          <w:b/>
        </w:rPr>
        <w:lastRenderedPageBreak/>
        <w:t>1</w:t>
      </w:r>
      <w:r w:rsidR="00BF23C9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</w:t>
      </w:r>
      <w:r>
        <w:t xml:space="preserve">A Semmelweis Egyetem TUKEB üléseiről jegyzőkönyv készül. A jegyzőkönyv tartalmazza az ülés helyét, idejét, a jelenlévők nevét, a megtárgyalt kérelmeket, a hozzászólásokat, véleményeket, valamint a szavazások eredményét. </w:t>
      </w:r>
    </w:p>
    <w:p w:rsidR="003F0228" w:rsidRDefault="003F0228" w:rsidP="003F0228">
      <w:pPr>
        <w:pStyle w:val="Szvegtrzs"/>
      </w:pPr>
    </w:p>
    <w:p w:rsidR="009E3AE1" w:rsidRDefault="00BF23C9" w:rsidP="009E3AE1">
      <w:pPr>
        <w:jc w:val="both"/>
      </w:pPr>
      <w:r>
        <w:rPr>
          <w:rFonts w:ascii="Arial" w:hAnsi="Arial"/>
          <w:b/>
        </w:rPr>
        <w:t>16</w:t>
      </w:r>
      <w:r w:rsidR="00B62764">
        <w:rPr>
          <w:rFonts w:ascii="Arial" w:hAnsi="Arial"/>
          <w:b/>
        </w:rPr>
        <w:t>.</w:t>
      </w:r>
      <w:r w:rsidR="00B62764">
        <w:t xml:space="preserve"> </w:t>
      </w:r>
      <w:r w:rsidR="009E3AE1">
        <w:t xml:space="preserve">A Semmelweis Egyetem TUKEB díjazása: </w:t>
      </w:r>
    </w:p>
    <w:p w:rsidR="009E3AE1" w:rsidRDefault="009E3AE1" w:rsidP="009E3AE1">
      <w:pPr>
        <w:jc w:val="both"/>
      </w:pPr>
    </w:p>
    <w:p w:rsidR="0015218C" w:rsidRPr="00245DF5" w:rsidRDefault="00245DF5" w:rsidP="002C20A8">
      <w:pPr>
        <w:spacing w:before="120"/>
        <w:jc w:val="both"/>
      </w:pPr>
      <w:r>
        <w:t>A</w:t>
      </w:r>
      <w:r w:rsidR="009E3AE1">
        <w:t>z emberen végzett orvostudományi kutatásra vonatkozó 23/2002.(V.9.) EüM rendelet hatálya alá tartozó kutatások tekintetében</w:t>
      </w:r>
      <w:r>
        <w:t xml:space="preserve"> a </w:t>
      </w:r>
      <w:r w:rsidRPr="00245DF5">
        <w:t xml:space="preserve">kutatás engedélyezése, az engedély módosítása esetén az igazgatási szolgáltatási </w:t>
      </w:r>
      <w:r>
        <w:t>díjat az engedélyező hatósághoz kell befizetni (</w:t>
      </w:r>
      <w:r w:rsidR="0086743B" w:rsidRPr="00564754">
        <w:t>a népegészségügyi feladatkörében eljáró fővárosi kormányhivatal)</w:t>
      </w:r>
      <w:r>
        <w:t xml:space="preserve">. </w:t>
      </w:r>
    </w:p>
    <w:p w:rsidR="009E3AE1" w:rsidRDefault="00245DF5" w:rsidP="002908F1">
      <w:pPr>
        <w:spacing w:before="120"/>
      </w:pPr>
      <w:r>
        <w:t xml:space="preserve"> </w:t>
      </w:r>
    </w:p>
    <w:p w:rsidR="00450516" w:rsidRDefault="00450516" w:rsidP="00C46745">
      <w:pPr>
        <w:numPr>
          <w:ilvl w:val="0"/>
          <w:numId w:val="9"/>
        </w:numPr>
        <w:tabs>
          <w:tab w:val="clear" w:pos="810"/>
          <w:tab w:val="num" w:pos="426"/>
        </w:tabs>
        <w:ind w:left="0" w:firstLine="0"/>
        <w:jc w:val="both"/>
      </w:pPr>
      <w:r>
        <w:t>A</w:t>
      </w:r>
      <w:r w:rsidR="00C46745" w:rsidRPr="00C9211E">
        <w:t xml:space="preserve">z emberi felhasználásra kerülő vizsgálati készítmények klinikai vizsgálatáról és a helyes klinikai gyakorlat alkalmazásáról </w:t>
      </w:r>
      <w:r w:rsidR="00C46745" w:rsidRPr="00D71C7D">
        <w:rPr>
          <w:szCs w:val="24"/>
        </w:rPr>
        <w:t>szóló 35/2005. (VIII. 26.) EüM rendelet hatálya</w:t>
      </w:r>
      <w:r w:rsidR="00C46745">
        <w:t xml:space="preserve"> alá tartozó kutatások tekintetében</w:t>
      </w:r>
      <w:r>
        <w:t xml:space="preserve"> </w:t>
      </w:r>
      <w:r w:rsidR="00C46745">
        <w:t xml:space="preserve">a </w:t>
      </w:r>
      <w:r>
        <w:t xml:space="preserve">megbízó a vizsgálat megkezdését megelőzően benyújtja az </w:t>
      </w:r>
    </w:p>
    <w:p w:rsidR="00450516" w:rsidRDefault="00450516" w:rsidP="00450516">
      <w:pPr>
        <w:jc w:val="both"/>
      </w:pPr>
    </w:p>
    <w:p w:rsidR="00450516" w:rsidRDefault="00450516" w:rsidP="00450516">
      <w:pPr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</w:pPr>
      <w:r>
        <w:t>OGY</w:t>
      </w:r>
      <w:r w:rsidR="00E87850">
        <w:t>É</w:t>
      </w:r>
      <w:r>
        <w:t>I engedélyt</w:t>
      </w:r>
    </w:p>
    <w:p w:rsidR="00450516" w:rsidRDefault="00450516" w:rsidP="00450516">
      <w:pPr>
        <w:numPr>
          <w:ilvl w:val="1"/>
          <w:numId w:val="9"/>
        </w:numPr>
        <w:tabs>
          <w:tab w:val="clear" w:pos="1440"/>
          <w:tab w:val="num" w:pos="993"/>
        </w:tabs>
        <w:ind w:left="993" w:hanging="284"/>
        <w:jc w:val="both"/>
      </w:pPr>
      <w:r>
        <w:t>a magyar nyelvű protokoll összefoglalót</w:t>
      </w:r>
    </w:p>
    <w:p w:rsidR="00450516" w:rsidRDefault="00450516">
      <w:pPr>
        <w:jc w:val="both"/>
      </w:pPr>
    </w:p>
    <w:p w:rsidR="00C46745" w:rsidRDefault="00C46745">
      <w:pPr>
        <w:jc w:val="both"/>
      </w:pPr>
      <w:r>
        <w:t>A</w:t>
      </w:r>
      <w:r w:rsidRPr="00D71C7D">
        <w:rPr>
          <w:szCs w:val="24"/>
        </w:rPr>
        <w:t>z emberen végzett orvostudományi kutatásra vonatkozó 23/2002.(V.9.) EüM rendelet hatálya alá tartozó kutatások tekintetében</w:t>
      </w:r>
      <w:r>
        <w:t xml:space="preserve"> kutatás vezetője a kutatás megkezdését megelőzően benyújtja </w:t>
      </w:r>
    </w:p>
    <w:p w:rsidR="00C46745" w:rsidRDefault="00C46745" w:rsidP="00C46745">
      <w:pPr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</w:pPr>
      <w:r>
        <w:t>a kutatási engedélyt,</w:t>
      </w:r>
    </w:p>
    <w:p w:rsidR="00C46745" w:rsidRDefault="00C46745" w:rsidP="00C46745">
      <w:pPr>
        <w:numPr>
          <w:ilvl w:val="1"/>
          <w:numId w:val="9"/>
        </w:numPr>
        <w:tabs>
          <w:tab w:val="clear" w:pos="1440"/>
          <w:tab w:val="num" w:pos="709"/>
        </w:tabs>
        <w:ind w:left="993" w:hanging="284"/>
        <w:jc w:val="both"/>
      </w:pPr>
      <w:r>
        <w:t xml:space="preserve">a magyar nyelvű kutatási tervet </w:t>
      </w:r>
    </w:p>
    <w:p w:rsidR="00C46745" w:rsidRDefault="00C46745">
      <w:pPr>
        <w:jc w:val="both"/>
      </w:pPr>
    </w:p>
    <w:p w:rsidR="00B62764" w:rsidRDefault="00450516">
      <w:pPr>
        <w:jc w:val="both"/>
      </w:pPr>
      <w:r w:rsidRPr="00450516"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 xml:space="preserve"> </w:t>
      </w:r>
      <w:r w:rsidR="00B62764">
        <w:t>Az Semmelweis Egyetem TUKEB a jelen ügyr</w:t>
      </w:r>
      <w:r w:rsidR="00A158A7">
        <w:t>endet, valamint a tagok névsorát</w:t>
      </w:r>
      <w:r w:rsidR="00B62764">
        <w:t xml:space="preserve"> továbbítja az ETT TUKEB-hez jóváhagyás végett. </w:t>
      </w:r>
    </w:p>
    <w:p w:rsidR="00A158A7" w:rsidRDefault="00A158A7"/>
    <w:p w:rsidR="00A158A7" w:rsidRDefault="00A158A7"/>
    <w:p w:rsidR="00B62764" w:rsidRDefault="00B62764">
      <w:r>
        <w:t xml:space="preserve">Budapest, </w:t>
      </w:r>
      <w:r w:rsidR="005A1862">
        <w:t>201</w:t>
      </w:r>
      <w:r w:rsidR="00AD1F03">
        <w:t>5</w:t>
      </w:r>
      <w:r w:rsidR="005A1862">
        <w:t xml:space="preserve">. </w:t>
      </w:r>
      <w:r w:rsidR="00313BD0">
        <w:t>június 15.</w:t>
      </w:r>
    </w:p>
    <w:p w:rsidR="00313BD0" w:rsidRDefault="00313BD0"/>
    <w:p w:rsidR="00313BD0" w:rsidRDefault="00313BD0"/>
    <w:p w:rsidR="00313BD0" w:rsidRDefault="00313BD0"/>
    <w:p w:rsidR="00313BD0" w:rsidRDefault="00313BD0"/>
    <w:p w:rsidR="00313BD0" w:rsidRDefault="00313BD0">
      <w:r>
        <w:t>Az ETT elnöksége 201</w:t>
      </w:r>
      <w:r w:rsidR="00436BB1">
        <w:t>5</w:t>
      </w:r>
      <w:r>
        <w:t>. július 02-ai ülésén a Semmelweis Egyetem Regionális, Intézményi Tudományos és Kutatásetikai Bizottságának Ügyrendjét, egyhangúlag jóváhagyta.</w:t>
      </w:r>
    </w:p>
    <w:p w:rsidR="00313BD0" w:rsidRDefault="00313BD0"/>
    <w:p w:rsidR="00313BD0" w:rsidRDefault="00313BD0"/>
    <w:p w:rsidR="00450516" w:rsidRDefault="00450516"/>
    <w:p w:rsidR="00450516" w:rsidRPr="007E064D" w:rsidRDefault="00450516" w:rsidP="00564754"/>
    <w:sectPr w:rsidR="00450516" w:rsidRPr="007E064D" w:rsidSect="005C122C">
      <w:headerReference w:type="even" r:id="rId7"/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0F" w:rsidRDefault="00F2250F">
      <w:r>
        <w:separator/>
      </w:r>
    </w:p>
  </w:endnote>
  <w:endnote w:type="continuationSeparator" w:id="1">
    <w:p w:rsidR="00F2250F" w:rsidRDefault="00F2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12" w:rsidRDefault="00EA1A1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0F" w:rsidRDefault="00F2250F">
      <w:r>
        <w:separator/>
      </w:r>
    </w:p>
  </w:footnote>
  <w:footnote w:type="continuationSeparator" w:id="1">
    <w:p w:rsidR="00F2250F" w:rsidRDefault="00F2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12" w:rsidRDefault="001E65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A1A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1A12" w:rsidRDefault="00EA1A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12" w:rsidRDefault="00EA1A1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="001E6500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1E6500">
      <w:rPr>
        <w:rStyle w:val="Oldalszm"/>
      </w:rPr>
      <w:fldChar w:fldCharType="separate"/>
    </w:r>
    <w:r w:rsidR="00436BB1">
      <w:rPr>
        <w:rStyle w:val="Oldalszm"/>
        <w:noProof/>
      </w:rPr>
      <w:t>3</w:t>
    </w:r>
    <w:r w:rsidR="001E6500">
      <w:rPr>
        <w:rStyle w:val="Oldalszm"/>
      </w:rPr>
      <w:fldChar w:fldCharType="end"/>
    </w:r>
    <w:r>
      <w:rPr>
        <w:rStyle w:val="Oldalszm"/>
      </w:rPr>
      <w:t xml:space="preserve"> -</w:t>
    </w:r>
  </w:p>
  <w:p w:rsidR="00EA1A12" w:rsidRDefault="00EA1A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716"/>
    <w:multiLevelType w:val="multilevel"/>
    <w:tmpl w:val="9B4408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22C3410"/>
    <w:multiLevelType w:val="hybridMultilevel"/>
    <w:tmpl w:val="91A4BE1C"/>
    <w:lvl w:ilvl="0" w:tplc="90EE9492">
      <w:start w:val="1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hint="default"/>
        <w:b/>
      </w:rPr>
    </w:lvl>
    <w:lvl w:ilvl="1" w:tplc="C114B05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53F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CE650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9DD6630"/>
    <w:multiLevelType w:val="hybridMultilevel"/>
    <w:tmpl w:val="9A2E6D2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3121E"/>
    <w:multiLevelType w:val="hybridMultilevel"/>
    <w:tmpl w:val="883CE5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9775D"/>
    <w:multiLevelType w:val="hybridMultilevel"/>
    <w:tmpl w:val="D7DCB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C185C"/>
    <w:multiLevelType w:val="multilevel"/>
    <w:tmpl w:val="9B4408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65A5B7F"/>
    <w:multiLevelType w:val="multilevel"/>
    <w:tmpl w:val="9B4408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AC815B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317F63"/>
    <w:multiLevelType w:val="multilevel"/>
    <w:tmpl w:val="9A2E6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D23"/>
    <w:rsid w:val="000503DE"/>
    <w:rsid w:val="00084430"/>
    <w:rsid w:val="000946D5"/>
    <w:rsid w:val="000C4C4D"/>
    <w:rsid w:val="000F6866"/>
    <w:rsid w:val="00122BCF"/>
    <w:rsid w:val="0015218C"/>
    <w:rsid w:val="00164836"/>
    <w:rsid w:val="001704E3"/>
    <w:rsid w:val="001B11EF"/>
    <w:rsid w:val="001C28C7"/>
    <w:rsid w:val="001E6500"/>
    <w:rsid w:val="00200943"/>
    <w:rsid w:val="00212CF7"/>
    <w:rsid w:val="00245DF5"/>
    <w:rsid w:val="00263719"/>
    <w:rsid w:val="00273AF6"/>
    <w:rsid w:val="002835A4"/>
    <w:rsid w:val="002908F1"/>
    <w:rsid w:val="002C071B"/>
    <w:rsid w:val="002C20A8"/>
    <w:rsid w:val="002E7D3F"/>
    <w:rsid w:val="002F2D04"/>
    <w:rsid w:val="00313BD0"/>
    <w:rsid w:val="003369FE"/>
    <w:rsid w:val="00380322"/>
    <w:rsid w:val="003B1C86"/>
    <w:rsid w:val="003B7D6B"/>
    <w:rsid w:val="003C3015"/>
    <w:rsid w:val="003F0228"/>
    <w:rsid w:val="00425636"/>
    <w:rsid w:val="00436BB1"/>
    <w:rsid w:val="00445411"/>
    <w:rsid w:val="00450516"/>
    <w:rsid w:val="00456107"/>
    <w:rsid w:val="004573DE"/>
    <w:rsid w:val="00470EC8"/>
    <w:rsid w:val="00473CBB"/>
    <w:rsid w:val="0049255B"/>
    <w:rsid w:val="0050348F"/>
    <w:rsid w:val="00506363"/>
    <w:rsid w:val="00534834"/>
    <w:rsid w:val="00537B58"/>
    <w:rsid w:val="00537E30"/>
    <w:rsid w:val="005440BF"/>
    <w:rsid w:val="00563393"/>
    <w:rsid w:val="00564754"/>
    <w:rsid w:val="005A1862"/>
    <w:rsid w:val="005C122C"/>
    <w:rsid w:val="005C5C10"/>
    <w:rsid w:val="005E7D23"/>
    <w:rsid w:val="005F5065"/>
    <w:rsid w:val="00605C8A"/>
    <w:rsid w:val="00615ABC"/>
    <w:rsid w:val="00616597"/>
    <w:rsid w:val="00622FB7"/>
    <w:rsid w:val="00623F9B"/>
    <w:rsid w:val="006B3209"/>
    <w:rsid w:val="006B57B1"/>
    <w:rsid w:val="006C4DE8"/>
    <w:rsid w:val="006D1134"/>
    <w:rsid w:val="00715694"/>
    <w:rsid w:val="0073085A"/>
    <w:rsid w:val="00792BEA"/>
    <w:rsid w:val="007E064D"/>
    <w:rsid w:val="007E648B"/>
    <w:rsid w:val="0080764E"/>
    <w:rsid w:val="00845862"/>
    <w:rsid w:val="0086743B"/>
    <w:rsid w:val="008C7C55"/>
    <w:rsid w:val="009136F6"/>
    <w:rsid w:val="009A23B3"/>
    <w:rsid w:val="009B4E98"/>
    <w:rsid w:val="009D7D75"/>
    <w:rsid w:val="009E3AE1"/>
    <w:rsid w:val="00A158A7"/>
    <w:rsid w:val="00A159CE"/>
    <w:rsid w:val="00A70193"/>
    <w:rsid w:val="00A82251"/>
    <w:rsid w:val="00AD1F03"/>
    <w:rsid w:val="00AE7540"/>
    <w:rsid w:val="00B238C0"/>
    <w:rsid w:val="00B62764"/>
    <w:rsid w:val="00B911DD"/>
    <w:rsid w:val="00BC73B3"/>
    <w:rsid w:val="00BE01F9"/>
    <w:rsid w:val="00BF23C9"/>
    <w:rsid w:val="00BF457B"/>
    <w:rsid w:val="00C2181F"/>
    <w:rsid w:val="00C248E1"/>
    <w:rsid w:val="00C46745"/>
    <w:rsid w:val="00C554AD"/>
    <w:rsid w:val="00C73707"/>
    <w:rsid w:val="00C9211E"/>
    <w:rsid w:val="00CD46DC"/>
    <w:rsid w:val="00CE59ED"/>
    <w:rsid w:val="00D70186"/>
    <w:rsid w:val="00D71C7D"/>
    <w:rsid w:val="00DA238E"/>
    <w:rsid w:val="00E578C2"/>
    <w:rsid w:val="00E87850"/>
    <w:rsid w:val="00E95089"/>
    <w:rsid w:val="00EA1A12"/>
    <w:rsid w:val="00ED2E3D"/>
    <w:rsid w:val="00EE5C9C"/>
    <w:rsid w:val="00F1200D"/>
    <w:rsid w:val="00F143F9"/>
    <w:rsid w:val="00F2250F"/>
    <w:rsid w:val="00F558EB"/>
    <w:rsid w:val="00F86646"/>
    <w:rsid w:val="00FC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650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E6500"/>
    <w:pPr>
      <w:jc w:val="both"/>
    </w:pPr>
  </w:style>
  <w:style w:type="paragraph" w:styleId="lfej">
    <w:name w:val="header"/>
    <w:basedOn w:val="Norml"/>
    <w:rsid w:val="001E65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E6500"/>
  </w:style>
  <w:style w:type="paragraph" w:styleId="llb">
    <w:name w:val="footer"/>
    <w:basedOn w:val="Norml"/>
    <w:rsid w:val="001E650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E6500"/>
    <w:pPr>
      <w:jc w:val="center"/>
    </w:pPr>
    <w:rPr>
      <w:i/>
    </w:rPr>
  </w:style>
  <w:style w:type="paragraph" w:styleId="Buborkszveg">
    <w:name w:val="Balloon Text"/>
    <w:basedOn w:val="Norml"/>
    <w:semiHidden/>
    <w:rsid w:val="009B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>SOTE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creator>Igazságügyi Orvostani Int.</dc:creator>
  <cp:lastModifiedBy>Toxi2</cp:lastModifiedBy>
  <cp:revision>2</cp:revision>
  <cp:lastPrinted>2015-07-09T06:40:00Z</cp:lastPrinted>
  <dcterms:created xsi:type="dcterms:W3CDTF">2015-09-25T07:29:00Z</dcterms:created>
  <dcterms:modified xsi:type="dcterms:W3CDTF">2015-09-25T07:29:00Z</dcterms:modified>
</cp:coreProperties>
</file>