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F0C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155E7DE" w14:textId="77777777" w:rsidR="005C2E45" w:rsidRPr="00912716" w:rsidRDefault="005C2E45">
      <w:pPr>
        <w:jc w:val="center"/>
        <w:rPr>
          <w:rFonts w:ascii="Trebuchet MS" w:eastAsia="Trebuchet MS" w:hAnsi="Trebuchet MS" w:cs="Trebuchet MS"/>
          <w:b/>
          <w:color w:val="1F4E79" w:themeColor="accent1" w:themeShade="80"/>
          <w:sz w:val="40"/>
          <w:szCs w:val="40"/>
        </w:rPr>
      </w:pPr>
    </w:p>
    <w:p w14:paraId="77ACFB9F" w14:textId="77777777" w:rsidR="005C2E45" w:rsidRPr="00912716" w:rsidRDefault="005C2E45">
      <w:pPr>
        <w:jc w:val="center"/>
        <w:rPr>
          <w:rFonts w:ascii="Trebuchet MS" w:eastAsia="Trebuchet MS" w:hAnsi="Trebuchet MS" w:cs="Trebuchet MS"/>
          <w:b/>
          <w:color w:val="1F4E79" w:themeColor="accent1" w:themeShade="80"/>
          <w:sz w:val="40"/>
          <w:szCs w:val="40"/>
        </w:rPr>
      </w:pPr>
    </w:p>
    <w:p w14:paraId="423E0A02" w14:textId="77777777" w:rsidR="005C2E45" w:rsidRPr="00912716" w:rsidRDefault="00DA592E">
      <w:pPr>
        <w:jc w:val="center"/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  <w:t>Semmelweis Egyetem</w:t>
      </w:r>
    </w:p>
    <w:p w14:paraId="6112C352" w14:textId="77777777" w:rsidR="005C2E45" w:rsidRPr="00912716" w:rsidRDefault="005C2E45">
      <w:pPr>
        <w:jc w:val="center"/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</w:pPr>
    </w:p>
    <w:p w14:paraId="27DBFD67" w14:textId="77777777" w:rsidR="005C2E45" w:rsidRPr="00912716" w:rsidRDefault="00DA592E">
      <w:pPr>
        <w:jc w:val="center"/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  <w:t xml:space="preserve"> Doktori Iskola</w:t>
      </w:r>
    </w:p>
    <w:p w14:paraId="3D951F60" w14:textId="77777777" w:rsidR="005C2E45" w:rsidRPr="00912716" w:rsidRDefault="005C2E45">
      <w:pPr>
        <w:jc w:val="center"/>
        <w:rPr>
          <w:rFonts w:ascii="Trebuchet MS" w:eastAsia="Trebuchet MS" w:hAnsi="Trebuchet MS" w:cs="Trebuchet MS"/>
          <w:color w:val="1F4E79" w:themeColor="accent1" w:themeShade="80"/>
          <w:sz w:val="40"/>
          <w:szCs w:val="40"/>
        </w:rPr>
      </w:pPr>
    </w:p>
    <w:p w14:paraId="1CE1803E" w14:textId="77777777" w:rsidR="005C2E45" w:rsidRPr="00912716" w:rsidRDefault="005C2E45">
      <w:pPr>
        <w:jc w:val="center"/>
        <w:rPr>
          <w:rFonts w:ascii="Trebuchet MS" w:eastAsia="Trebuchet MS" w:hAnsi="Trebuchet MS" w:cs="Trebuchet MS"/>
          <w:b/>
          <w:color w:val="1F4E79" w:themeColor="accent1" w:themeShade="80"/>
          <w:sz w:val="40"/>
          <w:szCs w:val="40"/>
        </w:rPr>
      </w:pPr>
    </w:p>
    <w:p w14:paraId="5EA1D3CA" w14:textId="1195DD05" w:rsidR="005C2E45" w:rsidRPr="00912716" w:rsidRDefault="00C468DE" w:rsidP="00C468DE">
      <w:pPr>
        <w:jc w:val="center"/>
        <w:rPr>
          <w:rFonts w:ascii="Trebuchet MS" w:eastAsia="Trebuchet MS" w:hAnsi="Trebuchet MS" w:cs="Trebuchet MS"/>
          <w:color w:val="1F4E79" w:themeColor="accent1" w:themeShade="80"/>
        </w:rPr>
      </w:pPr>
      <w:r w:rsidRPr="00C468DE">
        <w:rPr>
          <w:rFonts w:ascii="Trebuchet MS" w:eastAsia="Trebuchet MS" w:hAnsi="Trebuchet MS" w:cs="Trebuchet MS"/>
          <w:b/>
          <w:bCs/>
          <w:color w:val="1F4E79" w:themeColor="accent1" w:themeShade="80"/>
          <w:sz w:val="40"/>
          <w:szCs w:val="40"/>
        </w:rPr>
        <w:t>A DOKTORI KÉPZÉS ESG-ALAPÚ MŰKÖDÉSÉNEK KERETRENDSZERE</w:t>
      </w:r>
    </w:p>
    <w:p w14:paraId="0146E39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79617B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41769C4" w14:textId="77777777" w:rsidR="005C2E45" w:rsidRPr="00912716" w:rsidRDefault="00DA592E">
      <w:pPr>
        <w:jc w:val="center"/>
        <w:rPr>
          <w:rFonts w:ascii="Trebuchet MS" w:eastAsia="Trebuchet MS" w:hAnsi="Trebuchet MS" w:cs="Trebuchet MS"/>
          <w:smallCaps/>
          <w:color w:val="1F4E79" w:themeColor="accent1" w:themeShade="80"/>
          <w:sz w:val="36"/>
          <w:szCs w:val="36"/>
        </w:rPr>
      </w:pPr>
      <w:r w:rsidRPr="00912716">
        <w:rPr>
          <w:rFonts w:ascii="Trebuchet MS" w:eastAsia="Trebuchet MS" w:hAnsi="Trebuchet MS" w:cs="Trebuchet MS"/>
          <w:smallCaps/>
          <w:color w:val="1F4E79" w:themeColor="accent1" w:themeShade="80"/>
          <w:sz w:val="36"/>
          <w:szCs w:val="36"/>
        </w:rPr>
        <w:t>EURÓPAI FELSŐOKTATÁSI STANDARDOK</w:t>
      </w:r>
    </w:p>
    <w:p w14:paraId="08801712" w14:textId="5A13B518" w:rsidR="005C2E45" w:rsidRPr="00912716" w:rsidRDefault="00DA592E" w:rsidP="00686CDB">
      <w:pPr>
        <w:jc w:val="center"/>
        <w:rPr>
          <w:rFonts w:ascii="Trebuchet MS" w:eastAsia="Trebuchet MS" w:hAnsi="Trebuchet MS" w:cs="Trebuchet MS"/>
          <w:smallCaps/>
          <w:color w:val="1F4E79" w:themeColor="accent1" w:themeShade="80"/>
          <w:sz w:val="36"/>
          <w:szCs w:val="36"/>
        </w:rPr>
      </w:pPr>
      <w:r w:rsidRPr="00912716">
        <w:rPr>
          <w:rFonts w:ascii="Trebuchet MS" w:eastAsia="Trebuchet MS" w:hAnsi="Trebuchet MS" w:cs="Trebuchet MS"/>
          <w:smallCaps/>
          <w:color w:val="1F4E79" w:themeColor="accent1" w:themeShade="80"/>
          <w:sz w:val="36"/>
          <w:szCs w:val="36"/>
        </w:rPr>
        <w:t>(ESG:2015)</w:t>
      </w:r>
    </w:p>
    <w:p w14:paraId="3501B541" w14:textId="77777777" w:rsidR="005C2E45" w:rsidRPr="00912716" w:rsidRDefault="00DA592E">
      <w:pPr>
        <w:jc w:val="center"/>
        <w:rPr>
          <w:rFonts w:ascii="Trebuchet MS" w:eastAsia="Trebuchet MS" w:hAnsi="Trebuchet MS" w:cs="Trebuchet MS"/>
          <w:smallCaps/>
          <w:color w:val="1F4E79" w:themeColor="accent1" w:themeShade="80"/>
          <w:sz w:val="28"/>
          <w:szCs w:val="28"/>
        </w:rPr>
      </w:pPr>
      <w:r w:rsidRPr="00912716">
        <w:rPr>
          <w:rFonts w:ascii="Trebuchet MS" w:eastAsia="Trebuchet MS" w:hAnsi="Trebuchet MS" w:cs="Trebuchet MS"/>
          <w:smallCaps/>
          <w:color w:val="1F4E79" w:themeColor="accent1" w:themeShade="80"/>
          <w:sz w:val="28"/>
          <w:szCs w:val="28"/>
        </w:rPr>
        <w:t>ALAPJÁN</w:t>
      </w:r>
    </w:p>
    <w:p w14:paraId="1D933C6E" w14:textId="77777777" w:rsidR="005C2E45" w:rsidRPr="00912716" w:rsidRDefault="005C2E45">
      <w:pPr>
        <w:jc w:val="center"/>
        <w:rPr>
          <w:rFonts w:ascii="Trebuchet MS" w:eastAsia="Trebuchet MS" w:hAnsi="Trebuchet MS" w:cs="Trebuchet MS"/>
          <w:smallCaps/>
          <w:color w:val="1F4E79" w:themeColor="accent1" w:themeShade="80"/>
          <w:sz w:val="32"/>
          <w:szCs w:val="32"/>
        </w:rPr>
      </w:pPr>
    </w:p>
    <w:p w14:paraId="34821C2E" w14:textId="1C1C8DC4" w:rsidR="005C2E45" w:rsidRPr="00912716" w:rsidRDefault="00DA592E">
      <w:pPr>
        <w:jc w:val="center"/>
        <w:rPr>
          <w:rFonts w:ascii="Trebuchet MS" w:eastAsia="Trebuchet MS" w:hAnsi="Trebuchet MS" w:cs="Trebuchet MS"/>
          <w:smallCaps/>
          <w:color w:val="1F4E79" w:themeColor="accent1" w:themeShade="80"/>
          <w:sz w:val="26"/>
          <w:szCs w:val="26"/>
        </w:rPr>
      </w:pPr>
      <w:r w:rsidRPr="00912716">
        <w:rPr>
          <w:rFonts w:ascii="Trebuchet MS" w:eastAsia="Trebuchet MS" w:hAnsi="Trebuchet MS" w:cs="Trebuchet MS"/>
          <w:smallCaps/>
          <w:color w:val="1F4E79" w:themeColor="accent1" w:themeShade="80"/>
          <w:sz w:val="26"/>
          <w:szCs w:val="26"/>
        </w:rPr>
        <w:t>KIEGÉSZÍTVE A MAB AKKREDITÁCIÓS ÖNÉRTÉKELÉSI SZEMPONTRENDSZERÉVEL</w:t>
      </w:r>
      <w:r w:rsidR="00686CDB">
        <w:rPr>
          <w:rFonts w:ascii="Trebuchet MS" w:eastAsia="Trebuchet MS" w:hAnsi="Trebuchet MS" w:cs="Trebuchet MS"/>
          <w:smallCaps/>
          <w:color w:val="1F4E79" w:themeColor="accent1" w:themeShade="80"/>
          <w:sz w:val="26"/>
          <w:szCs w:val="26"/>
        </w:rPr>
        <w:t xml:space="preserve"> </w:t>
      </w:r>
      <w:proofErr w:type="spellStart"/>
      <w:r w:rsidR="00686CDB">
        <w:rPr>
          <w:rFonts w:ascii="Trebuchet MS" w:eastAsia="Trebuchet MS" w:hAnsi="Trebuchet MS" w:cs="Trebuchet MS"/>
          <w:smallCaps/>
          <w:color w:val="1F4E79" w:themeColor="accent1" w:themeShade="80"/>
          <w:sz w:val="26"/>
          <w:szCs w:val="26"/>
        </w:rPr>
        <w:t>figyelmbevételével</w:t>
      </w:r>
      <w:proofErr w:type="spellEnd"/>
    </w:p>
    <w:p w14:paraId="7E7FF0D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  <w:sz w:val="28"/>
          <w:szCs w:val="28"/>
        </w:rPr>
      </w:pPr>
    </w:p>
    <w:p w14:paraId="0D476A0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7BB8D8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132092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795059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B043A1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tbl>
      <w:tblPr>
        <w:tblStyle w:val="a"/>
        <w:tblW w:w="9344" w:type="dxa"/>
        <w:tblInd w:w="0" w:type="dxa"/>
        <w:tblBorders>
          <w:top w:val="single" w:sz="4" w:space="0" w:color="E3D496"/>
          <w:left w:val="single" w:sz="4" w:space="0" w:color="E3D496"/>
          <w:bottom w:val="single" w:sz="4" w:space="0" w:color="E3D496"/>
          <w:right w:val="single" w:sz="4" w:space="0" w:color="E3D496"/>
          <w:insideH w:val="single" w:sz="4" w:space="0" w:color="E3D496"/>
          <w:insideV w:val="single" w:sz="4" w:space="0" w:color="E3D496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336"/>
        <w:gridCol w:w="2336"/>
        <w:gridCol w:w="2337"/>
      </w:tblGrid>
      <w:tr w:rsidR="00912716" w:rsidRPr="00912716" w14:paraId="4A55A60F" w14:textId="77777777">
        <w:trPr>
          <w:trHeight w:val="510"/>
        </w:trPr>
        <w:tc>
          <w:tcPr>
            <w:tcW w:w="2335" w:type="dxa"/>
          </w:tcPr>
          <w:p w14:paraId="1C353BBB" w14:textId="77777777" w:rsidR="005C2E45" w:rsidRPr="00912716" w:rsidRDefault="005C2E45">
            <w:pPr>
              <w:jc w:val="center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6" w:type="dxa"/>
          </w:tcPr>
          <w:p w14:paraId="41413167" w14:textId="77777777" w:rsidR="005C2E45" w:rsidRPr="00912716" w:rsidRDefault="00DA592E">
            <w:pPr>
              <w:spacing w:before="60"/>
              <w:jc w:val="center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Név</w:t>
            </w:r>
          </w:p>
        </w:tc>
        <w:tc>
          <w:tcPr>
            <w:tcW w:w="2336" w:type="dxa"/>
          </w:tcPr>
          <w:p w14:paraId="7D11064B" w14:textId="77777777" w:rsidR="005C2E45" w:rsidRPr="00912716" w:rsidRDefault="00DA592E">
            <w:pPr>
              <w:spacing w:before="60"/>
              <w:jc w:val="center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Beosztás</w:t>
            </w:r>
          </w:p>
        </w:tc>
        <w:tc>
          <w:tcPr>
            <w:tcW w:w="2337" w:type="dxa"/>
          </w:tcPr>
          <w:p w14:paraId="112B6F33" w14:textId="77777777" w:rsidR="005C2E45" w:rsidRPr="00912716" w:rsidRDefault="00DA592E">
            <w:pPr>
              <w:spacing w:before="60"/>
              <w:jc w:val="center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Aláírás/Dátum</w:t>
            </w:r>
          </w:p>
        </w:tc>
      </w:tr>
      <w:tr w:rsidR="00912716" w:rsidRPr="00912716" w14:paraId="6990C11A" w14:textId="77777777">
        <w:trPr>
          <w:trHeight w:val="454"/>
        </w:trPr>
        <w:tc>
          <w:tcPr>
            <w:tcW w:w="2335" w:type="dxa"/>
          </w:tcPr>
          <w:p w14:paraId="52D05F92" w14:textId="77777777" w:rsidR="005C2E45" w:rsidRPr="00912716" w:rsidRDefault="00DA592E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Készítette</w:t>
            </w:r>
          </w:p>
        </w:tc>
        <w:tc>
          <w:tcPr>
            <w:tcW w:w="2336" w:type="dxa"/>
          </w:tcPr>
          <w:p w14:paraId="1EEF40E1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6" w:type="dxa"/>
          </w:tcPr>
          <w:p w14:paraId="5B98AD3C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7" w:type="dxa"/>
          </w:tcPr>
          <w:p w14:paraId="0B3ACB2A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</w:tr>
      <w:tr w:rsidR="00912716" w:rsidRPr="00912716" w14:paraId="2C0042A0" w14:textId="77777777">
        <w:trPr>
          <w:trHeight w:val="454"/>
        </w:trPr>
        <w:tc>
          <w:tcPr>
            <w:tcW w:w="2335" w:type="dxa"/>
          </w:tcPr>
          <w:p w14:paraId="714D0125" w14:textId="77777777" w:rsidR="005C2E45" w:rsidRPr="00912716" w:rsidRDefault="00DA592E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Ellenőrizte</w:t>
            </w:r>
          </w:p>
        </w:tc>
        <w:tc>
          <w:tcPr>
            <w:tcW w:w="2336" w:type="dxa"/>
          </w:tcPr>
          <w:p w14:paraId="3231EE90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6" w:type="dxa"/>
          </w:tcPr>
          <w:p w14:paraId="4099E98C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7" w:type="dxa"/>
          </w:tcPr>
          <w:p w14:paraId="6BA17487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</w:tr>
      <w:tr w:rsidR="005C2E45" w:rsidRPr="00912716" w14:paraId="19816797" w14:textId="77777777">
        <w:trPr>
          <w:trHeight w:val="454"/>
        </w:trPr>
        <w:tc>
          <w:tcPr>
            <w:tcW w:w="2335" w:type="dxa"/>
          </w:tcPr>
          <w:p w14:paraId="2108B70A" w14:textId="77777777" w:rsidR="005C2E45" w:rsidRPr="00912716" w:rsidRDefault="00DA592E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  <w:r w:rsidRPr="00912716">
              <w:rPr>
                <w:rFonts w:ascii="Trebuchet MS" w:eastAsia="Trebuchet MS" w:hAnsi="Trebuchet MS" w:cs="Trebuchet MS"/>
                <w:color w:val="1F4E79" w:themeColor="accent1" w:themeShade="80"/>
              </w:rPr>
              <w:t>Jóváhagyta</w:t>
            </w:r>
          </w:p>
        </w:tc>
        <w:tc>
          <w:tcPr>
            <w:tcW w:w="2336" w:type="dxa"/>
          </w:tcPr>
          <w:p w14:paraId="6662B5F9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6" w:type="dxa"/>
          </w:tcPr>
          <w:p w14:paraId="73EC0C43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  <w:tc>
          <w:tcPr>
            <w:tcW w:w="2337" w:type="dxa"/>
          </w:tcPr>
          <w:p w14:paraId="419F5B61" w14:textId="77777777" w:rsidR="005C2E45" w:rsidRPr="00912716" w:rsidRDefault="005C2E45">
            <w:pPr>
              <w:spacing w:before="60"/>
              <w:rPr>
                <w:rFonts w:ascii="Trebuchet MS" w:eastAsia="Trebuchet MS" w:hAnsi="Trebuchet MS" w:cs="Trebuchet MS"/>
                <w:color w:val="1F4E79" w:themeColor="accent1" w:themeShade="80"/>
              </w:rPr>
            </w:pPr>
          </w:p>
        </w:tc>
      </w:tr>
    </w:tbl>
    <w:p w14:paraId="146FCD0C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019F9E3" w14:textId="77777777" w:rsidR="005C2E45" w:rsidRPr="00912716" w:rsidRDefault="00DA592E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color w:val="1F4E79" w:themeColor="accent1" w:themeShade="80"/>
        </w:rPr>
        <w:br w:type="page"/>
      </w:r>
    </w:p>
    <w:p w14:paraId="1F94399B" w14:textId="77777777" w:rsidR="005C2E45" w:rsidRPr="00912716" w:rsidRDefault="00DA592E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Tartalomjegyzék</w:t>
      </w:r>
    </w:p>
    <w:p w14:paraId="1472B55F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sdt>
      <w:sdtPr>
        <w:rPr>
          <w:rFonts w:ascii="Times New Roman" w:hAnsi="Times New Roman"/>
          <w:color w:val="1F4E79" w:themeColor="accent1" w:themeShade="80"/>
          <w:sz w:val="24"/>
        </w:rPr>
        <w:id w:val="-1241021659"/>
        <w:docPartObj>
          <w:docPartGallery w:val="Table of Contents"/>
          <w:docPartUnique/>
        </w:docPartObj>
      </w:sdtPr>
      <w:sdtContent>
        <w:p w14:paraId="0C4272DE" w14:textId="27A1A5F4" w:rsidR="00912716" w:rsidRDefault="00DA592E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r w:rsidRPr="00912716">
            <w:rPr>
              <w:color w:val="1F4E79" w:themeColor="accent1" w:themeShade="80"/>
            </w:rPr>
            <w:fldChar w:fldCharType="begin"/>
          </w:r>
          <w:r w:rsidRPr="00912716">
            <w:rPr>
              <w:color w:val="1F4E79" w:themeColor="accent1" w:themeShade="80"/>
            </w:rPr>
            <w:instrText xml:space="preserve"> TOC \h \u \z </w:instrText>
          </w:r>
          <w:r w:rsidRPr="00912716">
            <w:rPr>
              <w:color w:val="1F4E79" w:themeColor="accent1" w:themeShade="80"/>
            </w:rPr>
            <w:fldChar w:fldCharType="separate"/>
          </w:r>
          <w:hyperlink w:anchor="_Toc218248712" w:history="1">
            <w:r w:rsidR="00912716" w:rsidRPr="00F251E4">
              <w:rPr>
                <w:rStyle w:val="Hiperhivatkozs"/>
                <w:rFonts w:eastAsia="Trebuchet MS" w:cs="Trebuchet MS"/>
                <w:noProof/>
                <w:color w:val="023160" w:themeColor="hyperlink" w:themeShade="80"/>
              </w:rPr>
              <w:t>Általános bemutatkozás</w:t>
            </w:r>
            <w:r w:rsidR="00912716">
              <w:rPr>
                <w:noProof/>
                <w:webHidden/>
              </w:rPr>
              <w:tab/>
            </w:r>
            <w:r w:rsidR="00912716">
              <w:rPr>
                <w:noProof/>
                <w:webHidden/>
              </w:rPr>
              <w:fldChar w:fldCharType="begin"/>
            </w:r>
            <w:r w:rsidR="00912716">
              <w:rPr>
                <w:noProof/>
                <w:webHidden/>
              </w:rPr>
              <w:instrText xml:space="preserve"> PAGEREF _Toc218248712 \h </w:instrText>
            </w:r>
            <w:r w:rsidR="00912716">
              <w:rPr>
                <w:noProof/>
                <w:webHidden/>
              </w:rPr>
            </w:r>
            <w:r w:rsidR="00912716">
              <w:rPr>
                <w:noProof/>
                <w:webHidden/>
              </w:rPr>
              <w:fldChar w:fldCharType="separate"/>
            </w:r>
            <w:r w:rsidR="00912716">
              <w:rPr>
                <w:noProof/>
                <w:webHidden/>
              </w:rPr>
              <w:t>3</w:t>
            </w:r>
            <w:r w:rsidR="00912716">
              <w:rPr>
                <w:noProof/>
                <w:webHidden/>
              </w:rPr>
              <w:fldChar w:fldCharType="end"/>
            </w:r>
          </w:hyperlink>
        </w:p>
        <w:p w14:paraId="6C3D59A8" w14:textId="602E7F01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3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1.1 Minőségbiztosítási politika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5716A" w14:textId="76011456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4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1.2 A képzési programok kialakítása és jóváhagyása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CB69D" w14:textId="27B7AA7A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5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1.3 Hallgatóközpontú tanulás, tanítás és értékelés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68D55" w14:textId="2E7E9499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6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1.4 A hallgatók felvétele, előrehaladása, tanulmányaik elismerése, és a képesítés odaítélése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8F015" w14:textId="26B9E681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7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1.5 Oktatók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F5FB9" w14:textId="7A5F5A5D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8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1.6 Tanulástámogatás és hallgatói szolgáltatások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80D0E" w14:textId="159403C3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19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1.7 Információkezelés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9AB8C" w14:textId="2AC57E30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20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1.8 Nyilvános információk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7156A" w14:textId="4F3FCC2A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21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1.9 A képzési programok folyamatos figyelemmel kísérése és rendszeres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D7180" w14:textId="4F7B2AA6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22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1.10 Rendszeres külső minőségbiztosítás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82E38" w14:textId="3F748DF5" w:rsidR="00912716" w:rsidRDefault="00912716">
          <w:pPr>
            <w:pStyle w:val="TJ1"/>
            <w:tabs>
              <w:tab w:val="right" w:pos="934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14:ligatures w14:val="standardContextual"/>
            </w:rPr>
          </w:pPr>
          <w:hyperlink w:anchor="_Toc218248723" w:history="1">
            <w:r w:rsidRPr="00F251E4">
              <w:rPr>
                <w:rStyle w:val="Hiperhivatkozs"/>
                <w:noProof/>
                <w:color w:val="023160" w:themeColor="hyperlink" w:themeShade="80"/>
              </w:rPr>
              <w:t>ESG 2.1 A belső minőségbiztosítás figyelembevétele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_Toc218248723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443B" w14:textId="1381D16B" w:rsidR="005C2E45" w:rsidRPr="00912716" w:rsidRDefault="00DA5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4"/>
            </w:tabs>
            <w:spacing w:after="100"/>
            <w:ind w:left="240"/>
            <w:rPr>
              <w:rFonts w:ascii="Calibri" w:eastAsia="Calibri" w:hAnsi="Calibri" w:cs="Calibri"/>
              <w:color w:val="1F4E79" w:themeColor="accent1" w:themeShade="80"/>
              <w:sz w:val="22"/>
              <w:szCs w:val="22"/>
            </w:rPr>
          </w:pPr>
          <w:r w:rsidRPr="00912716">
            <w:rPr>
              <w:color w:val="1F4E79" w:themeColor="accent1" w:themeShade="80"/>
            </w:rPr>
            <w:fldChar w:fldCharType="end"/>
          </w:r>
        </w:p>
      </w:sdtContent>
    </w:sdt>
    <w:p w14:paraId="3AFB510B" w14:textId="77777777" w:rsidR="005C2E45" w:rsidRPr="00912716" w:rsidRDefault="00DA592E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color w:val="1F4E79" w:themeColor="accent1" w:themeShade="80"/>
        </w:rPr>
        <w:br w:type="page"/>
      </w:r>
    </w:p>
    <w:p w14:paraId="5660E305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5DF2105B" w14:textId="77777777" w:rsidR="005C2E45" w:rsidRPr="00912716" w:rsidRDefault="00DA592E">
      <w:pPr>
        <w:pStyle w:val="Cm"/>
        <w:jc w:val="center"/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  <w:t>1. rész: az intézményi belső minőségbiztosítás standardjai</w:t>
      </w:r>
    </w:p>
    <w:p w14:paraId="2A6A4F39" w14:textId="77777777" w:rsidR="005C2E45" w:rsidRPr="00912716" w:rsidRDefault="005C2E45">
      <w:pPr>
        <w:rPr>
          <w:color w:val="1F4E79" w:themeColor="accent1" w:themeShade="80"/>
        </w:rPr>
      </w:pPr>
    </w:p>
    <w:p w14:paraId="4B6E0138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56318E12" w14:textId="77777777" w:rsidR="005C2E45" w:rsidRPr="00912716" w:rsidRDefault="00DA592E">
      <w:pPr>
        <w:pStyle w:val="Cmsor1"/>
        <w:pBdr>
          <w:top w:val="nil"/>
          <w:left w:val="nil"/>
          <w:bottom w:val="nil"/>
          <w:right w:val="nil"/>
          <w:between w:val="nil"/>
        </w:pBdr>
        <w:rPr>
          <w:rFonts w:eastAsia="Trebuchet MS" w:cs="Trebuchet MS"/>
          <w:color w:val="1F4E79" w:themeColor="accent1" w:themeShade="80"/>
        </w:rPr>
      </w:pPr>
      <w:bookmarkStart w:id="0" w:name="_heading=h.6zvpdvqjywa2" w:colFirst="0" w:colLast="0"/>
      <w:bookmarkStart w:id="1" w:name="_Toc218248712"/>
      <w:bookmarkEnd w:id="0"/>
      <w:r w:rsidRPr="00912716">
        <w:rPr>
          <w:rFonts w:eastAsia="Trebuchet MS" w:cs="Trebuchet MS"/>
          <w:color w:val="1F4E79" w:themeColor="accent1" w:themeShade="80"/>
        </w:rPr>
        <w:t>Általános bemutatkozás</w:t>
      </w:r>
      <w:bookmarkEnd w:id="1"/>
    </w:p>
    <w:p w14:paraId="46242261" w14:textId="77777777" w:rsidR="000D5785" w:rsidRPr="00912716" w:rsidRDefault="000D5785" w:rsidP="000D5785">
      <w:pPr>
        <w:rPr>
          <w:rFonts w:eastAsia="Trebuchet MS"/>
          <w:color w:val="1F4E79" w:themeColor="accent1" w:themeShade="80"/>
        </w:rPr>
      </w:pPr>
    </w:p>
    <w:p w14:paraId="7347B4E8" w14:textId="77777777" w:rsidR="000D5785" w:rsidRPr="00912716" w:rsidRDefault="000D5785" w:rsidP="000D5785">
      <w:pPr>
        <w:rPr>
          <w:rFonts w:eastAsia="Trebuchet MS"/>
          <w:color w:val="1F4E79" w:themeColor="accent1" w:themeShade="80"/>
        </w:rPr>
      </w:pPr>
    </w:p>
    <w:p w14:paraId="20F42809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2" w:name="_Toc218248713"/>
      <w:r w:rsidRPr="00912716">
        <w:rPr>
          <w:color w:val="1F4E79" w:themeColor="accent1" w:themeShade="80"/>
        </w:rPr>
        <w:t>ESG 1.1 Minőségbiztosítási politika</w:t>
      </w:r>
      <w:bookmarkEnd w:id="2"/>
    </w:p>
    <w:p w14:paraId="51B0AF92" w14:textId="77777777" w:rsidR="005C2E45" w:rsidRPr="00912716" w:rsidRDefault="005C2E45">
      <w:pPr>
        <w:rPr>
          <w:color w:val="1F4E79" w:themeColor="accent1" w:themeShade="80"/>
        </w:rPr>
      </w:pPr>
    </w:p>
    <w:p w14:paraId="024C46C4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43436EB2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intézmények rendelkezzenek publikus és a stratégiai menedzsment részét képező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politikával. Ezt a belső érintettek [azaz a hallgatók, az oktatók, és a nem oktató személyzet] dolgozzák ki és valósítsák meg, megfelelő struktúrák és folyamatok révén, a külső érintettek [felhasználók, munkaadók, partnerek] bevonásával.</w:t>
      </w:r>
    </w:p>
    <w:p w14:paraId="0CFA83E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1A3DCB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elkötelezett a minőségbiztosítás, minőségirányítás és minőségfejlesztés területén, ennek érdekében Minőségirányítási Rendszert (MIR) működtet az egyetemi Integrált Irányítási Rendszerén (IIR) belül, melynek keretében biztosított a minőségpolitika meghatározása is.</w:t>
      </w:r>
    </w:p>
    <w:p w14:paraId="0657F6A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egyetemi aktuális minőségpolitika kielégíti az ISO 9001:2015 5.2. Politika fejezet részben megfogalmazott elvárásokat is.</w:t>
      </w:r>
    </w:p>
    <w:p w14:paraId="779D72A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E435E4A" w14:textId="5C1D52E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</w:t>
      </w:r>
      <w:hyperlink r:id="rId9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minőségpolitika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nyilvános, az Egyetem internetes oldalán a Dokumentumok fül alatt közvetlen elérhető</w:t>
      </w:r>
      <w:r w:rsidR="00E3628A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</w:t>
      </w:r>
      <w:r w:rsidR="00B36D39" w:rsidRPr="00912716">
        <w:rPr>
          <w:rFonts w:ascii="Trebuchet MS" w:eastAsia="Trebuchet MS" w:hAnsi="Trebuchet MS" w:cs="Trebuchet MS"/>
          <w:color w:val="1F4E79" w:themeColor="accent1" w:themeShade="80"/>
        </w:rPr>
        <w:t>illetve a Szenátus szakpolitikákat is elfogadott, melyek között az ESG standardok</w:t>
      </w:r>
      <w:r w:rsidR="00606B76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alapján is megfogalmazott a Semmelweis Egyetem </w:t>
      </w:r>
      <w:r w:rsidR="002B3D74" w:rsidRPr="00912716">
        <w:rPr>
          <w:rFonts w:ascii="Trebuchet MS" w:eastAsia="Trebuchet MS" w:hAnsi="Trebuchet MS" w:cs="Trebuchet MS"/>
          <w:color w:val="1F4E79" w:themeColor="accent1" w:themeShade="80"/>
        </w:rPr>
        <w:t>minőségpolitikát.</w:t>
      </w:r>
    </w:p>
    <w:p w14:paraId="298528B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47769EA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(továbbiakban DI) az egyetemi minőségpolitikához csatlakozva biztosítja, hogy azt a munkatársai megismerjék, valamint a főbb é</w:t>
      </w:r>
      <w:r w:rsidR="00396A80" w:rsidRPr="00912716">
        <w:rPr>
          <w:rFonts w:ascii="Trebuchet MS" w:eastAsia="Trebuchet MS" w:hAnsi="Trebuchet MS" w:cs="Trebuchet MS"/>
          <w:color w:val="1F4E79" w:themeColor="accent1" w:themeShade="80"/>
        </w:rPr>
        <w:t>rdekelt felek felé kommunikálja azt.</w:t>
      </w:r>
    </w:p>
    <w:p w14:paraId="24271EC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BD3CFE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minőségpolitikában megfogalmazott misszió és vízió szoros összhangban áll az Európai Kutatási Térség (European Research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Area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ERA) célkitűzéseivel és leképezi az egyetemi </w:t>
      </w:r>
      <w:hyperlink r:id="rId10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Intézményfejlesztési Tervben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megfogalmazottakat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, valamint biztosítja a Doktori Iskol</w:t>
      </w:r>
      <w:r w:rsidR="00396A80" w:rsidRPr="00912716">
        <w:rPr>
          <w:rFonts w:ascii="Trebuchet MS" w:eastAsia="Trebuchet MS" w:hAnsi="Trebuchet MS" w:cs="Trebuchet MS"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r w:rsidR="00983A8A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minőségbiztosításának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kereteit.</w:t>
      </w:r>
    </w:p>
    <w:p w14:paraId="57DC433C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80C3EF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minőségtudatosság, a minőségkultúra fejlesztése ér</w:t>
      </w:r>
      <w:r w:rsidR="00983A8A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dekében rendszeres időközönként, de legalább évente egyszer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minőségügyi témák is szerepelnek a megbeszélések, értekezletek, </w:t>
      </w:r>
      <w:r w:rsidR="00396A80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Egyetemi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Doktori </w:t>
      </w:r>
      <w:r w:rsidR="00396A80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Tanács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(</w:t>
      </w:r>
      <w:r w:rsidR="00396A80" w:rsidRPr="00912716">
        <w:rPr>
          <w:rFonts w:ascii="Trebuchet MS" w:eastAsia="Trebuchet MS" w:hAnsi="Trebuchet MS" w:cs="Trebuchet MS"/>
          <w:color w:val="1F4E79" w:themeColor="accent1" w:themeShade="80"/>
        </w:rPr>
        <w:t>E</w:t>
      </w:r>
      <w:r w:rsidR="00983A8A" w:rsidRPr="00912716">
        <w:rPr>
          <w:rFonts w:ascii="Trebuchet MS" w:eastAsia="Trebuchet MS" w:hAnsi="Trebuchet MS" w:cs="Trebuchet MS"/>
          <w:color w:val="1F4E79" w:themeColor="accent1" w:themeShade="80"/>
        </w:rPr>
        <w:t>DT) ülések idején, valamint a tagozatok, programok szintjén is hasonlóan leképezhetően megjelennek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48D898B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866AE0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minőségpolitika élővé tételének érdekében a Doktori Iskola az </w:t>
      </w:r>
      <w:hyperlink r:id="rId11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egyetemi stratégiai minőségcélokhoz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csatlakozik, azoknak megvalósításában részt vállal. A minőségcélokat lebontva, indikátorokhoz rendelve dolgozza ki és azoknak megvalósulását, eredményességét évente értékeli.</w:t>
      </w:r>
    </w:p>
    <w:p w14:paraId="5BE15D3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Az éves minőségcélok meghatározásában, megvalósításában a főbb érdekelt feleket bevonja a Doktori Iskola.</w:t>
      </w:r>
    </w:p>
    <w:p w14:paraId="6FC1CF8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942A7D5" w14:textId="75195D5E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főbb érdekelt feleket és azok szükségleteit a Doktori Iskola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monitorozza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, és a működés tervezése során a fejlesztések kapcsán figyelembe veszi</w:t>
      </w:r>
      <w:r w:rsidR="00983A8A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azokat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  <w:r w:rsidR="00983A8A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főbb érdekelt felek és azok értelmezése megtörténik </w:t>
      </w:r>
      <w:r w:rsidR="00E73335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egységesen a Doktori Iskola, valamint tagozat szintjén is. </w:t>
      </w:r>
      <w:r w:rsidR="00307C60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</w:p>
    <w:p w14:paraId="0D2D8F1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7D730C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Integrált Irányítási Rendszerének működtetésében szerepet vállal a Doktori Iskola. Magára nézve az IIR működési kereteit, szabályzóit kötelezőnek tekinti.</w:t>
      </w:r>
    </w:p>
    <w:p w14:paraId="05784BA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Ennek tükrében az Oktatás és Kutatás (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valamint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ha releváns, a betegellátásban is) területén a mindenkori érvényes jogszabályoknak megfelel, a vonatkozó irányelveket, protokollokat, módszertani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előírásokat,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 figyelembe veszi. Ezen működést befolyásoló elvárásokat rendszeres időközönként, de évente legalább egyszer számba veszi és átvizsgálja az azoknak való megfelel</w:t>
      </w:r>
      <w:r w:rsidR="00BE0DB6" w:rsidRPr="00912716">
        <w:rPr>
          <w:rFonts w:ascii="Trebuchet MS" w:eastAsia="Trebuchet MS" w:hAnsi="Trebuchet MS" w:cs="Trebuchet MS"/>
          <w:color w:val="1F4E79" w:themeColor="accent1" w:themeShade="80"/>
        </w:rPr>
        <w:t>ést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72FBAA1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egyetemi IIR keretrendszerben meghatározott főbb szabványok szerint a folyamatokat, azok mentén a működést a felsőoktatás területén az </w:t>
      </w:r>
      <w:r w:rsidRPr="00912716">
        <w:rPr>
          <w:rFonts w:ascii="Arial" w:eastAsia="Arial" w:hAnsi="Arial" w:cs="Arial"/>
          <w:color w:val="1F4E79" w:themeColor="accent1" w:themeShade="80"/>
        </w:rPr>
        <w:t>​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ESG 2015 –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Standards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and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Guidelines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for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Quality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Assurance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in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the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European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Higher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Education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Area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szabályozza; a kutatás területén a különböző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GxP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-k figyelembevételével, az általános működésben az ISO 9001:2015 szabványt alapul véve</w:t>
      </w:r>
      <w:r w:rsidR="00BE0DB6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szabályozza a Doktori Iskola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3BBA60A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81A7DA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Egyetem minőségüggyel kapcsolatos legmagasabb döntéshozó fóruma a </w:t>
      </w:r>
      <w:hyperlink r:id="rId12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Minőségfejlesztési Tanács (MT)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melynek szavazati jogú tagja az Egyetemi </w:t>
      </w:r>
      <w:hyperlink r:id="rId13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Doktori Tanács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elnöke is. Állandó meghívott a </w:t>
      </w:r>
      <w:hyperlink r:id="rId14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Doktorandusz Önkormányzat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elnöke.</w:t>
      </w:r>
    </w:p>
    <w:p w14:paraId="2B54004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MT döntéselőkészítő, véleményező testülete a </w:t>
      </w:r>
      <w:hyperlink r:id="rId15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Minőségfejlesztési és Minőségértékelő Bizottság (MMB)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509AB69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A5CD90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  <w:u w:val="single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minőségüggyel kapcsolatos legfőbb testülete a </w:t>
      </w:r>
      <w:hyperlink r:id="rId16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Véleményező és Minőségellenőrző Bizottság (VMB).</w:t>
        </w:r>
      </w:hyperlink>
    </w:p>
    <w:p w14:paraId="36FE2D7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0232537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Véleményező és Minőségellenőrző Bizottság feladatai:</w:t>
      </w:r>
    </w:p>
    <w:p w14:paraId="248E2CFC" w14:textId="77777777" w:rsidR="00B733F0" w:rsidRPr="00912716" w:rsidRDefault="003C70C9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r w:rsidR="00B733F0" w:rsidRPr="00912716">
        <w:rPr>
          <w:rFonts w:ascii="Trebuchet MS" w:eastAsia="Trebuchet MS" w:hAnsi="Trebuchet MS" w:cs="Trebuchet MS"/>
          <w:color w:val="1F4E79" w:themeColor="accent1" w:themeShade="80"/>
        </w:rPr>
        <w:t>a) DT-k javaslata alapján a doktoranduszok és témavezetők tudományszaki</w:t>
      </w:r>
    </w:p>
    <w:p w14:paraId="7D607CFC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besorolásának véleményezése;</w:t>
      </w:r>
    </w:p>
    <w:p w14:paraId="79A7CDA6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b) a fokozatszerzéssel kapcsolatos tudományos teljesítmény értékelése;</w:t>
      </w:r>
    </w:p>
    <w:p w14:paraId="35894E1E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c) a komplex vizsga vizsgabizottságának és a védési bizottság összetételének</w:t>
      </w:r>
    </w:p>
    <w:p w14:paraId="6F86B5A1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véleményezése/kijelölése (a benyújtott javaslat alapján);</w:t>
      </w:r>
    </w:p>
    <w:p w14:paraId="1DF2CE70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d) minőségellenőrzés a doktori tagozatok minden tevékenységére kiterjedően;</w:t>
      </w:r>
    </w:p>
    <w:p w14:paraId="06E6565D" w14:textId="77777777" w:rsidR="00B733F0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e) a PhD oklevelek honosítására vonatkozó kérelmek tekintetében döntés-előkészítés;</w:t>
      </w:r>
    </w:p>
    <w:p w14:paraId="4363B694" w14:textId="2CCD0B7B" w:rsidR="005C2E45" w:rsidRPr="00912716" w:rsidRDefault="00B733F0" w:rsidP="00B733F0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f) a DT-k új képzési programjavaslatainak véleményezése.</w:t>
      </w:r>
    </w:p>
    <w:p w14:paraId="636026CD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</w:p>
    <w:p w14:paraId="7EE37DF4" w14:textId="77777777" w:rsidR="009F62C6" w:rsidRDefault="009F62C6">
      <w:pPr>
        <w:pStyle w:val="Cmsor1"/>
        <w:rPr>
          <w:color w:val="1F4E79" w:themeColor="accent1" w:themeShade="80"/>
        </w:rPr>
      </w:pPr>
      <w:bookmarkStart w:id="3" w:name="_Toc218248714"/>
    </w:p>
    <w:p w14:paraId="3009F2E8" w14:textId="77777777" w:rsidR="009F62C6" w:rsidRDefault="009F62C6">
      <w:pPr>
        <w:pStyle w:val="Cmsor1"/>
        <w:rPr>
          <w:color w:val="1F4E79" w:themeColor="accent1" w:themeShade="80"/>
        </w:rPr>
      </w:pPr>
    </w:p>
    <w:p w14:paraId="2964E948" w14:textId="77777777" w:rsidR="009F62C6" w:rsidRDefault="009F62C6">
      <w:pPr>
        <w:pStyle w:val="Cmsor1"/>
        <w:rPr>
          <w:color w:val="1F4E79" w:themeColor="accent1" w:themeShade="80"/>
        </w:rPr>
      </w:pPr>
    </w:p>
    <w:p w14:paraId="14AEDF1A" w14:textId="77777777" w:rsidR="009F62C6" w:rsidRPr="009F62C6" w:rsidRDefault="009F62C6" w:rsidP="009F62C6"/>
    <w:p w14:paraId="49D40BFC" w14:textId="77777777" w:rsidR="009F62C6" w:rsidRDefault="009F62C6">
      <w:pPr>
        <w:pStyle w:val="Cmsor1"/>
        <w:rPr>
          <w:color w:val="1F4E79" w:themeColor="accent1" w:themeShade="80"/>
        </w:rPr>
      </w:pPr>
    </w:p>
    <w:p w14:paraId="07F1FE05" w14:textId="1F5638F7" w:rsidR="00E236E9" w:rsidRDefault="00D960FF">
      <w:pPr>
        <w:pStyle w:val="Cmsor1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Érdekelt felek (érintettek, </w:t>
      </w:r>
      <w:proofErr w:type="spellStart"/>
      <w:r>
        <w:rPr>
          <w:color w:val="1F4E79" w:themeColor="accent1" w:themeShade="80"/>
        </w:rPr>
        <w:t>stakeholderek</w:t>
      </w:r>
      <w:proofErr w:type="spellEnd"/>
      <w:r>
        <w:rPr>
          <w:color w:val="1F4E79" w:themeColor="accent1" w:themeShade="80"/>
        </w:rPr>
        <w:t>)</w:t>
      </w:r>
    </w:p>
    <w:p w14:paraId="1AF356F9" w14:textId="77777777" w:rsidR="00D960FF" w:rsidRDefault="00D960FF" w:rsidP="00D960FF"/>
    <w:p w14:paraId="00DED2D3" w14:textId="416DA5C4" w:rsidR="009777E8" w:rsidRPr="009777E8" w:rsidRDefault="009777E8" w:rsidP="009777E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777E8">
        <w:rPr>
          <w:rFonts w:ascii="Trebuchet MS" w:eastAsia="Trebuchet MS" w:hAnsi="Trebuchet MS" w:cs="Trebuchet MS"/>
          <w:color w:val="1F4E79" w:themeColor="accent1" w:themeShade="80"/>
        </w:rPr>
        <w:t>A doktori képzés működése során az érdekelt felek elvárásainak azonosítása és figyelembevétele a minőségbiztosítás alapvető eleme; a működési keretrendszer e szempontokat strukturáltan kezeli, biztosítva az intézményi célok, a doktorandusz-érdekek és a külső elvárások közötti egyensúlyt. A doktori képzés működése során az érdekelt felek igényeinek figyelembevétele a Doktori Szabályzatban rögzített keretek és az ESG-alapú működési keretrendszer alkalmazásával valósul meg, biztosítva az átlátható, minőségorientált és fejleszthető működést.</w:t>
      </w:r>
    </w:p>
    <w:p w14:paraId="559BE387" w14:textId="77777777" w:rsidR="00E236E9" w:rsidRDefault="00E236E9">
      <w:pPr>
        <w:pStyle w:val="Cmsor1"/>
        <w:rPr>
          <w:color w:val="1F4E79" w:themeColor="accent1" w:themeShade="80"/>
        </w:rPr>
      </w:pPr>
    </w:p>
    <w:p w14:paraId="0DFB62AD" w14:textId="77777777" w:rsidR="00E236E9" w:rsidRDefault="00E236E9">
      <w:pPr>
        <w:pStyle w:val="Cmsor1"/>
        <w:rPr>
          <w:color w:val="1F4E79" w:themeColor="accent1" w:themeShade="80"/>
        </w:rPr>
      </w:pPr>
    </w:p>
    <w:p w14:paraId="65A95C28" w14:textId="77777777" w:rsidR="00E236E9" w:rsidRDefault="00E236E9">
      <w:pPr>
        <w:pStyle w:val="Cmsor1"/>
        <w:rPr>
          <w:color w:val="1F4E79" w:themeColor="accent1" w:themeShade="80"/>
        </w:rPr>
      </w:pPr>
    </w:p>
    <w:p w14:paraId="3DCE9A31" w14:textId="77777777" w:rsidR="00E236E9" w:rsidRDefault="00E236E9">
      <w:pPr>
        <w:pStyle w:val="Cmsor1"/>
        <w:rPr>
          <w:color w:val="1F4E79" w:themeColor="accent1" w:themeShade="80"/>
        </w:rPr>
      </w:pPr>
    </w:p>
    <w:p w14:paraId="40E3F70E" w14:textId="2D415109" w:rsidR="005C2E45" w:rsidRPr="00912716" w:rsidRDefault="00DA592E">
      <w:pPr>
        <w:pStyle w:val="Cmsor1"/>
        <w:rPr>
          <w:color w:val="1F4E79" w:themeColor="accent1" w:themeShade="80"/>
        </w:rPr>
      </w:pPr>
      <w:r w:rsidRPr="00912716">
        <w:rPr>
          <w:color w:val="1F4E79" w:themeColor="accent1" w:themeShade="80"/>
        </w:rPr>
        <w:t>ESG 1.2 A képzési programok kialakítása és jóváhagyása</w:t>
      </w:r>
      <w:bookmarkEnd w:id="3"/>
    </w:p>
    <w:p w14:paraId="0489BE43" w14:textId="77777777" w:rsidR="005C2E45" w:rsidRPr="00912716" w:rsidRDefault="005C2E45">
      <w:pPr>
        <w:rPr>
          <w:color w:val="1F4E79" w:themeColor="accent1" w:themeShade="80"/>
        </w:rPr>
      </w:pPr>
    </w:p>
    <w:p w14:paraId="3354D294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581F411F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rendelkezzenek folyamatokkal képzési programjaik kialakítására és jóváhagyására. A képzési programokat úgy kell kialakítani, hogy elérjék kitűzött céljaikat, beleértve az elvárt tanulási eredményeket. A program révén megszerezhető</w:t>
      </w:r>
    </w:p>
    <w:p w14:paraId="4212156F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képesítés legyen világosan meghatározott és közölt, utalással a nemzeti képesítési keretrendszer megfelelő szintjére, s ennek révén az Európai Felsőoktatási Térség képesítési keretrendszerére.</w:t>
      </w:r>
    </w:p>
    <w:p w14:paraId="4ACD0EA0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</w:p>
    <w:p w14:paraId="452F4201" w14:textId="2131C14D" w:rsidR="00806A03" w:rsidRPr="00806A03" w:rsidRDefault="00806A03" w:rsidP="00806A03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>
        <w:rPr>
          <w:rFonts w:ascii="Trebuchet MS" w:eastAsia="Trebuchet MS" w:hAnsi="Trebuchet MS" w:cs="Trebuchet MS"/>
          <w:b/>
          <w:bCs/>
          <w:color w:val="1F4E79" w:themeColor="accent1" w:themeShade="80"/>
        </w:rPr>
        <w:t xml:space="preserve">A </w:t>
      </w:r>
      <w:r w:rsidRPr="00806A03">
        <w:rPr>
          <w:rFonts w:ascii="Trebuchet MS" w:eastAsia="Trebuchet MS" w:hAnsi="Trebuchet MS" w:cs="Trebuchet MS"/>
          <w:b/>
          <w:bCs/>
          <w:color w:val="1F4E79" w:themeColor="accent1" w:themeShade="80"/>
        </w:rPr>
        <w:t>doktori képzésben a „képzési program”</w:t>
      </w:r>
      <w:r w:rsidRPr="00806A03">
        <w:rPr>
          <w:rFonts w:ascii="Trebuchet MS" w:eastAsia="Trebuchet MS" w:hAnsi="Trebuchet MS" w:cs="Trebuchet MS"/>
          <w:color w:val="1F4E79" w:themeColor="accent1" w:themeShade="80"/>
        </w:rPr>
        <w:t xml:space="preserve"> nem egyetlen tantárgy és nem is pusztán egy tanterv, hanem:</w:t>
      </w:r>
    </w:p>
    <w:p w14:paraId="4103E752" w14:textId="77777777" w:rsidR="00806A03" w:rsidRPr="00806A03" w:rsidRDefault="00806A03" w:rsidP="00806A03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06A03">
        <w:rPr>
          <w:rFonts w:ascii="Trebuchet MS" w:eastAsia="Trebuchet MS" w:hAnsi="Trebuchet MS" w:cs="Trebuchet MS"/>
          <w:b/>
          <w:bCs/>
          <w:color w:val="1F4E79" w:themeColor="accent1" w:themeShade="80"/>
        </w:rPr>
        <w:t>a doktori képzés strukturált szakmai és tanulmányi kerete</w:t>
      </w:r>
      <w:r w:rsidRPr="00806A03">
        <w:rPr>
          <w:rFonts w:ascii="Trebuchet MS" w:eastAsia="Trebuchet MS" w:hAnsi="Trebuchet MS" w:cs="Trebuchet MS"/>
          <w:color w:val="1F4E79" w:themeColor="accent1" w:themeShade="80"/>
        </w:rPr>
        <w:t>,</w:t>
      </w:r>
      <w:r w:rsidRPr="00806A03">
        <w:rPr>
          <w:rFonts w:ascii="Trebuchet MS" w:eastAsia="Trebuchet MS" w:hAnsi="Trebuchet MS" w:cs="Trebuchet MS"/>
          <w:color w:val="1F4E79" w:themeColor="accent1" w:themeShade="80"/>
        </w:rPr>
        <w:br/>
        <w:t>amely meghatározza:</w:t>
      </w:r>
    </w:p>
    <w:p w14:paraId="4DCE0F27" w14:textId="77777777" w:rsidR="00806A03" w:rsidRPr="00806A03" w:rsidRDefault="00806A03" w:rsidP="00806A03">
      <w:pPr>
        <w:numPr>
          <w:ilvl w:val="0"/>
          <w:numId w:val="16"/>
        </w:num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06A03">
        <w:rPr>
          <w:rFonts w:ascii="Trebuchet MS" w:eastAsia="Trebuchet MS" w:hAnsi="Trebuchet MS" w:cs="Trebuchet MS"/>
          <w:color w:val="1F4E79" w:themeColor="accent1" w:themeShade="80"/>
        </w:rPr>
        <w:t>a képzés célját,</w:t>
      </w:r>
    </w:p>
    <w:p w14:paraId="75282740" w14:textId="77777777" w:rsidR="00806A03" w:rsidRPr="00806A03" w:rsidRDefault="00806A03" w:rsidP="00806A03">
      <w:pPr>
        <w:numPr>
          <w:ilvl w:val="0"/>
          <w:numId w:val="16"/>
        </w:num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06A03">
        <w:rPr>
          <w:rFonts w:ascii="Trebuchet MS" w:eastAsia="Trebuchet MS" w:hAnsi="Trebuchet MS" w:cs="Trebuchet MS"/>
          <w:color w:val="1F4E79" w:themeColor="accent1" w:themeShade="80"/>
        </w:rPr>
        <w:t>a megszerezhető kompetenciákat,</w:t>
      </w:r>
    </w:p>
    <w:p w14:paraId="2076CB85" w14:textId="77777777" w:rsidR="00806A03" w:rsidRPr="00806A03" w:rsidRDefault="00806A03" w:rsidP="00806A03">
      <w:pPr>
        <w:numPr>
          <w:ilvl w:val="0"/>
          <w:numId w:val="16"/>
        </w:num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06A03">
        <w:rPr>
          <w:rFonts w:ascii="Trebuchet MS" w:eastAsia="Trebuchet MS" w:hAnsi="Trebuchet MS" w:cs="Trebuchet MS"/>
          <w:color w:val="1F4E79" w:themeColor="accent1" w:themeShade="80"/>
        </w:rPr>
        <w:t>a tanulmányi és kutatási elemeket,</w:t>
      </w:r>
    </w:p>
    <w:p w14:paraId="086A7E2B" w14:textId="77777777" w:rsidR="00806A03" w:rsidRPr="00806A03" w:rsidRDefault="00806A03" w:rsidP="00806A03">
      <w:pPr>
        <w:numPr>
          <w:ilvl w:val="0"/>
          <w:numId w:val="16"/>
        </w:num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06A03">
        <w:rPr>
          <w:rFonts w:ascii="Trebuchet MS" w:eastAsia="Trebuchet MS" w:hAnsi="Trebuchet MS" w:cs="Trebuchet MS"/>
          <w:color w:val="1F4E79" w:themeColor="accent1" w:themeShade="80"/>
        </w:rPr>
        <w:t>a teljesítés és értékelés rendjét.</w:t>
      </w:r>
    </w:p>
    <w:p w14:paraId="37EDD57E" w14:textId="18DA56E3" w:rsidR="00806A03" w:rsidRDefault="00D12BEC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D12BEC">
        <w:rPr>
          <w:rFonts w:ascii="Trebuchet MS" w:eastAsia="Trebuchet MS" w:hAnsi="Trebuchet MS" w:cs="Trebuchet MS"/>
          <w:color w:val="1F4E79" w:themeColor="accent1" w:themeShade="80"/>
        </w:rPr>
        <w:t xml:space="preserve">Ez </w:t>
      </w:r>
      <w:r w:rsidRPr="00D12BEC">
        <w:rPr>
          <w:rFonts w:ascii="Trebuchet MS" w:eastAsia="Trebuchet MS" w:hAnsi="Trebuchet MS" w:cs="Trebuchet MS"/>
          <w:b/>
          <w:bCs/>
          <w:color w:val="1F4E79" w:themeColor="accent1" w:themeShade="80"/>
        </w:rPr>
        <w:t>programszintű fogalom</w:t>
      </w:r>
      <w:r w:rsidRPr="00D12BEC">
        <w:rPr>
          <w:rFonts w:ascii="Trebuchet MS" w:eastAsia="Trebuchet MS" w:hAnsi="Trebuchet MS" w:cs="Trebuchet MS"/>
          <w:color w:val="1F4E79" w:themeColor="accent1" w:themeShade="80"/>
        </w:rPr>
        <w:t>, nem operatív (nem egy kurzus, nem egy tematika).</w:t>
      </w:r>
    </w:p>
    <w:p w14:paraId="21513AA0" w14:textId="77777777" w:rsidR="00D12BEC" w:rsidRDefault="00D12BEC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5D1DE4B" w14:textId="77777777" w:rsidR="009B4CE2" w:rsidRPr="009B4CE2" w:rsidRDefault="009B4CE2" w:rsidP="009B4CE2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9B4CE2">
        <w:rPr>
          <w:rFonts w:ascii="Trebuchet MS" w:eastAsia="Trebuchet MS" w:hAnsi="Trebuchet MS" w:cs="Trebuchet MS"/>
          <w:b/>
          <w:bCs/>
          <w:color w:val="1F4E79" w:themeColor="accent1" w:themeShade="80"/>
        </w:rPr>
        <w:t>A képzés célja</w:t>
      </w:r>
    </w:p>
    <w:p w14:paraId="2A5C092C" w14:textId="77777777" w:rsidR="005B4A65" w:rsidRDefault="009B4CE2" w:rsidP="009B4CE2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B4CE2">
        <w:rPr>
          <w:rFonts w:ascii="Trebuchet MS" w:eastAsia="Trebuchet MS" w:hAnsi="Trebuchet MS" w:cs="Trebuchet MS"/>
          <w:color w:val="1F4E79" w:themeColor="accent1" w:themeShade="80"/>
        </w:rPr>
        <w:t>A doktori képzés célja a magas szintű, önálló tudományos kutatásra képes szakemberek képzése, akik képesek új tudományos eredmények létrehozására, azok nemzetközi szintű bemutatására, valamint a tudományos utánpótlás és az akadémiai, klinikai vagy innovációs környezetben való elhelyezkedés támogatására.</w:t>
      </w:r>
    </w:p>
    <w:p w14:paraId="0F49CA6D" w14:textId="27D8A2BF" w:rsidR="009B4CE2" w:rsidRPr="009B4CE2" w:rsidRDefault="009B4CE2" w:rsidP="009B4CE2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B4CE2">
        <w:rPr>
          <w:rFonts w:ascii="Trebuchet MS" w:eastAsia="Trebuchet MS" w:hAnsi="Trebuchet MS" w:cs="Trebuchet MS"/>
          <w:color w:val="1F4E79" w:themeColor="accent1" w:themeShade="80"/>
        </w:rPr>
        <w:t xml:space="preserve">A képzési program célrendszere illeszkedik az Egyetem Intézményfejlesztési Tervében megfogalmazott kutatási kiválósági, </w:t>
      </w:r>
      <w:proofErr w:type="spellStart"/>
      <w:r w:rsidRPr="009B4CE2">
        <w:rPr>
          <w:rFonts w:ascii="Trebuchet MS" w:eastAsia="Trebuchet MS" w:hAnsi="Trebuchet MS" w:cs="Trebuchet MS"/>
          <w:color w:val="1F4E79" w:themeColor="accent1" w:themeShade="80"/>
        </w:rPr>
        <w:t>nemzetköziesítési</w:t>
      </w:r>
      <w:proofErr w:type="spellEnd"/>
      <w:r w:rsidRPr="009B4CE2">
        <w:rPr>
          <w:rFonts w:ascii="Trebuchet MS" w:eastAsia="Trebuchet MS" w:hAnsi="Trebuchet MS" w:cs="Trebuchet MS"/>
          <w:color w:val="1F4E79" w:themeColor="accent1" w:themeShade="80"/>
        </w:rPr>
        <w:t xml:space="preserve"> és tehetséggondozási célokhoz.</w:t>
      </w:r>
    </w:p>
    <w:p w14:paraId="5D1361B1" w14:textId="77777777" w:rsidR="009B4CE2" w:rsidRDefault="009B4CE2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1559572" w14:textId="77777777" w:rsidR="00880D7A" w:rsidRPr="00880D7A" w:rsidRDefault="00880D7A" w:rsidP="00880D7A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880D7A">
        <w:rPr>
          <w:rFonts w:ascii="Trebuchet MS" w:eastAsia="Trebuchet MS" w:hAnsi="Trebuchet MS" w:cs="Trebuchet MS"/>
          <w:b/>
          <w:bCs/>
          <w:color w:val="1F4E79" w:themeColor="accent1" w:themeShade="80"/>
        </w:rPr>
        <w:t>Megszerezhető kompetenciák</w:t>
      </w:r>
    </w:p>
    <w:p w14:paraId="2B5332B9" w14:textId="77777777" w:rsidR="00880D7A" w:rsidRPr="00880D7A" w:rsidRDefault="00880D7A" w:rsidP="00880D7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880D7A">
        <w:rPr>
          <w:rFonts w:ascii="Trebuchet MS" w:eastAsia="Trebuchet MS" w:hAnsi="Trebuchet MS" w:cs="Trebuchet MS"/>
          <w:color w:val="1F4E79" w:themeColor="accent1" w:themeShade="80"/>
        </w:rPr>
        <w:t xml:space="preserve">A képzési program a doktoranduszok tudományos, módszertani és transzverzális kompetenciáinak fejlesztésére irányul, különös tekintettel az önálló kutatás tervezésére és megvalósítására, a kritikai gondolkodásra, a tudományos </w:t>
      </w:r>
      <w:r w:rsidRPr="00880D7A">
        <w:rPr>
          <w:rFonts w:ascii="Trebuchet MS" w:eastAsia="Trebuchet MS" w:hAnsi="Trebuchet MS" w:cs="Trebuchet MS"/>
          <w:color w:val="1F4E79" w:themeColor="accent1" w:themeShade="80"/>
        </w:rPr>
        <w:lastRenderedPageBreak/>
        <w:t>kommunikációra, valamint az etikus és felelős kutatói magatartásra.</w:t>
      </w:r>
      <w:r w:rsidRPr="00880D7A">
        <w:rPr>
          <w:rFonts w:ascii="Trebuchet MS" w:eastAsia="Trebuchet MS" w:hAnsi="Trebuchet MS" w:cs="Trebuchet MS"/>
          <w:color w:val="1F4E79" w:themeColor="accent1" w:themeShade="80"/>
        </w:rPr>
        <w:br/>
        <w:t>A kompetenciafejlesztés a képzési és kutatási szakasz során, a kurzusok, kutatási tevékenység és témavezetői támogatás integrációjával valósul meg.</w:t>
      </w:r>
    </w:p>
    <w:p w14:paraId="32AC04D8" w14:textId="77777777" w:rsidR="005B4A65" w:rsidRDefault="005B4A65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4A77FC8" w14:textId="330DB8C3" w:rsidR="009B3D01" w:rsidRPr="009B3D01" w:rsidRDefault="009B3D01" w:rsidP="009B3D01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>
        <w:rPr>
          <w:rFonts w:ascii="Trebuchet MS" w:eastAsia="Trebuchet MS" w:hAnsi="Trebuchet MS" w:cs="Trebuchet MS"/>
          <w:b/>
          <w:bCs/>
          <w:color w:val="1F4E79" w:themeColor="accent1" w:themeShade="80"/>
        </w:rPr>
        <w:t>T</w:t>
      </w:r>
      <w:r w:rsidRPr="009B3D01">
        <w:rPr>
          <w:rFonts w:ascii="Trebuchet MS" w:eastAsia="Trebuchet MS" w:hAnsi="Trebuchet MS" w:cs="Trebuchet MS"/>
          <w:b/>
          <w:bCs/>
          <w:color w:val="1F4E79" w:themeColor="accent1" w:themeShade="80"/>
        </w:rPr>
        <w:t>anulmányi és kutatási elemek</w:t>
      </w:r>
    </w:p>
    <w:p w14:paraId="69D30A5F" w14:textId="77777777" w:rsidR="00744D7A" w:rsidRDefault="009B3D01" w:rsidP="009B3D01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B3D01">
        <w:rPr>
          <w:rFonts w:ascii="Trebuchet MS" w:eastAsia="Trebuchet MS" w:hAnsi="Trebuchet MS" w:cs="Trebuchet MS"/>
          <w:color w:val="1F4E79" w:themeColor="accent1" w:themeShade="80"/>
        </w:rPr>
        <w:t>A képzési program tanulmányi és kutatási elemei egymásra épülő rendszert alkotnak, amelyben a strukturált tanulmányi elemek (kurzusok, szemináriumok, készségfejlesztő tevékenységek) a kutatási tevékenységet támogatják, míg a kutatás eredményei visszacsatolást adnak a képzési folyamat egészére.</w:t>
      </w:r>
    </w:p>
    <w:p w14:paraId="68DDE3F6" w14:textId="6041CE61" w:rsidR="009B3D01" w:rsidRPr="009B3D01" w:rsidRDefault="009B3D01" w:rsidP="009B3D01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B3D01">
        <w:rPr>
          <w:rFonts w:ascii="Trebuchet MS" w:eastAsia="Trebuchet MS" w:hAnsi="Trebuchet MS" w:cs="Trebuchet MS"/>
          <w:color w:val="1F4E79" w:themeColor="accent1" w:themeShade="80"/>
        </w:rPr>
        <w:t>A tanulmányi és kutatási elemek aránya és tartalma a doktori programok és tagozatok sajátosságaihoz igazodik, a Doktori Szabályzat keretein belül.</w:t>
      </w:r>
    </w:p>
    <w:p w14:paraId="71C1C2E9" w14:textId="77777777" w:rsidR="009B3D01" w:rsidRDefault="009B3D01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FAB5276" w14:textId="77777777" w:rsidR="009B2C02" w:rsidRDefault="009B2C02" w:rsidP="009B2C02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03BF03F7" w14:textId="77777777" w:rsidR="009B2C02" w:rsidRDefault="009B2C02" w:rsidP="009B2C02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7F132FF7" w14:textId="0A874DC4" w:rsidR="009B2C02" w:rsidRPr="009B2C02" w:rsidRDefault="009B2C02" w:rsidP="009B2C02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9B2C02">
        <w:rPr>
          <w:rFonts w:ascii="Trebuchet MS" w:eastAsia="Trebuchet MS" w:hAnsi="Trebuchet MS" w:cs="Trebuchet MS"/>
          <w:b/>
          <w:bCs/>
          <w:color w:val="1F4E79" w:themeColor="accent1" w:themeShade="80"/>
        </w:rPr>
        <w:t>Teljesítés és értékelés rendje</w:t>
      </w:r>
    </w:p>
    <w:p w14:paraId="1E240374" w14:textId="77777777" w:rsidR="009B2C02" w:rsidRPr="009B2C02" w:rsidRDefault="009B2C02" w:rsidP="009B2C02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B2C02">
        <w:rPr>
          <w:rFonts w:ascii="Trebuchet MS" w:eastAsia="Trebuchet MS" w:hAnsi="Trebuchet MS" w:cs="Trebuchet MS"/>
          <w:color w:val="1F4E79" w:themeColor="accent1" w:themeShade="80"/>
        </w:rPr>
        <w:t>A képzési program teljesítésének és értékelésének rendje a doktori képzés egyes szakaszaihoz igazodva, több szinten valósul meg, biztosítva a doktoranduszok előrehaladásának nyomon követését, a visszajelzést és a fejlesztési lehetőségek azonosítását.</w:t>
      </w:r>
      <w:r w:rsidRPr="009B2C02">
        <w:rPr>
          <w:rFonts w:ascii="Trebuchet MS" w:eastAsia="Trebuchet MS" w:hAnsi="Trebuchet MS" w:cs="Trebuchet MS"/>
          <w:color w:val="1F4E79" w:themeColor="accent1" w:themeShade="80"/>
        </w:rPr>
        <w:br/>
        <w:t xml:space="preserve">Az értékelési mechanizmusok a Doktori Szabályzatban rögzített formális követelményekre épülnek, amelyeket a működési keretrendszer </w:t>
      </w:r>
      <w:proofErr w:type="spellStart"/>
      <w:r w:rsidRPr="009B2C02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B2C02">
        <w:rPr>
          <w:rFonts w:ascii="Trebuchet MS" w:eastAsia="Trebuchet MS" w:hAnsi="Trebuchet MS" w:cs="Trebuchet MS"/>
          <w:color w:val="1F4E79" w:themeColor="accent1" w:themeShade="80"/>
        </w:rPr>
        <w:t xml:space="preserve"> és önértékelési eszközökkel egészít ki.</w:t>
      </w:r>
    </w:p>
    <w:p w14:paraId="7C0D328E" w14:textId="77777777" w:rsidR="009B2C02" w:rsidRDefault="009B2C02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9FFFC1C" w14:textId="77777777" w:rsidR="009B4CE2" w:rsidRDefault="009B4CE2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67897FC" w14:textId="77777777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A doktori képzés kompetencia-, attitűd- és autonómia-dimenziói</w:t>
      </w:r>
    </w:p>
    <w:p w14:paraId="4E0E6F2C" w14:textId="70AFFFA7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Tudás és szakmai kompetenciák</w:t>
      </w:r>
    </w:p>
    <w:p w14:paraId="1ACBC6D9" w14:textId="77777777" w:rsidR="00B90105" w:rsidRPr="00B90105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 képzési program célja, hogy a doktoranduszok magas szintű, a szakterületükhöz kötődő elméleti és módszertani tudást szerezzenek, valamint képessé váljanak e tudás önálló alkalmazására új tudományos kérdések megfogalmazása és megválaszolása során.</w:t>
      </w:r>
      <w:r w:rsidRPr="00B90105">
        <w:rPr>
          <w:rFonts w:ascii="Trebuchet MS" w:eastAsia="Trebuchet MS" w:hAnsi="Trebuchet MS" w:cs="Trebuchet MS"/>
          <w:color w:val="1F4E79" w:themeColor="accent1" w:themeShade="80"/>
        </w:rPr>
        <w:br/>
        <w:t>A tudásfejlesztés a strukturált tanulmányi elemek és az egyéni kutatási tevékenység integrációjával valósul meg.</w:t>
      </w:r>
    </w:p>
    <w:p w14:paraId="04E26133" w14:textId="5AE11789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Kutatói attitűd és tudományos magatartás</w:t>
      </w:r>
    </w:p>
    <w:p w14:paraId="1E1B2A6E" w14:textId="77777777" w:rsidR="004253CC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 képzési program kiemelt célja a felelős, etikus és reflektív kutatói attitűd kialakítása, amely magában foglalja a tudományos integritás elveinek következetes érvényesítését, a kritikai gondolkodást, az önreflexiót, valamint a tudományos közösség normáinak tiszteletben tartását.</w:t>
      </w:r>
    </w:p>
    <w:p w14:paraId="7BB79AEB" w14:textId="13378286" w:rsidR="00B90105" w:rsidRPr="00B90105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 kutatói attitűd formálása a témavezetői támogatás, a kutatói közösségekbe való bekapcsolódás és a rendszeres visszajelzés révén történik.</w:t>
      </w:r>
    </w:p>
    <w:p w14:paraId="0D8E8C83" w14:textId="66133F8C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Autonómia és felelősség a kutatási folyamatban</w:t>
      </w:r>
    </w:p>
    <w:p w14:paraId="5313BE20" w14:textId="77777777" w:rsidR="004362D1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 doktori képzés során fokozatosan növekszik a doktoranduszok kutatói autonómiája, amely az egyéni kutatási kérdések megfogalmazásában, a módszertani döntésekben és az eredmények értelmezésében nyilvánul meg.</w:t>
      </w:r>
    </w:p>
    <w:p w14:paraId="30B13B8F" w14:textId="3771BFD8" w:rsidR="00B90105" w:rsidRPr="00B90105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Az autonómia erősödése együtt jár a tudományos és etikai felelősségvállalás növekedésével, amely a kutatási tevékenység átláthatóságában, dokumentáltságában és elszámoltathatóságában jelenik meg.</w:t>
      </w:r>
    </w:p>
    <w:p w14:paraId="53E974A5" w14:textId="137CD40F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Kommunikáció, együttműködés és társadalmi felelősség</w:t>
      </w:r>
    </w:p>
    <w:p w14:paraId="4786E57D" w14:textId="77777777" w:rsidR="004362D1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lastRenderedPageBreak/>
        <w:t>A képzési program támogatja a doktoranduszok tudományos kommunikációs és együttműködési kompetenciáinak fejlesztését, beleértve a nemzetközi tudományos közösségben való részvételt, az interdiszciplináris együttműködéseket, valamint a kutatási eredmények felelős társadalmi hasznosítását.</w:t>
      </w:r>
    </w:p>
    <w:p w14:paraId="3E2CB888" w14:textId="1D1EBAF0" w:rsidR="00B90105" w:rsidRPr="00B90105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E kompetenciák fejlesztése hozzájárul a doktoranduszok hosszú távú szakmai autonómiájához és karrierútjuk tudatos alakításához.</w:t>
      </w:r>
    </w:p>
    <w:p w14:paraId="7F97A3CF" w14:textId="4758E03B" w:rsidR="00B90105" w:rsidRPr="00B90105" w:rsidRDefault="00B90105" w:rsidP="00B90105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b/>
          <w:bCs/>
          <w:color w:val="1F4E79" w:themeColor="accent1" w:themeShade="80"/>
        </w:rPr>
        <w:t>Attitűd, autonómia és értékelés kapcsolata</w:t>
      </w:r>
    </w:p>
    <w:p w14:paraId="6AEB0D2C" w14:textId="77777777" w:rsidR="004362D1" w:rsidRDefault="00B90105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B90105">
        <w:rPr>
          <w:rFonts w:ascii="Trebuchet MS" w:eastAsia="Trebuchet MS" w:hAnsi="Trebuchet MS" w:cs="Trebuchet MS"/>
          <w:color w:val="1F4E79" w:themeColor="accent1" w:themeShade="80"/>
        </w:rPr>
        <w:t>A doktoranduszok attitűdjének, autonómiájának és felelősségvállalásának fejlődése nem önálló értékelési kritériumként, hanem a doktori képzés egészét átható minőségi szempontként jelenik meg, amely a tanulmányi és kutatási teljesítmény értékelése során közvetetten érvényesül.</w:t>
      </w:r>
    </w:p>
    <w:p w14:paraId="77743488" w14:textId="6CB24DC2" w:rsidR="00B90105" w:rsidRPr="00B90105" w:rsidRDefault="00E709A1" w:rsidP="00B9010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</w:p>
    <w:p w14:paraId="037632EB" w14:textId="77777777" w:rsidR="00B90105" w:rsidRDefault="00B90105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7B6FF05" w14:textId="23DB879A" w:rsidR="005C2E45" w:rsidRDefault="0033374A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33374A">
        <w:rPr>
          <w:rFonts w:ascii="Trebuchet MS" w:eastAsia="Trebuchet MS" w:hAnsi="Trebuchet MS" w:cs="Trebuchet MS"/>
          <w:color w:val="1F4E79" w:themeColor="accent1" w:themeShade="80"/>
        </w:rPr>
        <w:t xml:space="preserve">A képzési programok jóváhagyására és módosítására vonatkozó formális eljárásokat a Doktori Szabályzat határozza meg; jelen keretrendszer a programok rendszeres szakmai és </w:t>
      </w:r>
      <w:proofErr w:type="spellStart"/>
      <w:r w:rsidRPr="0033374A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33374A">
        <w:rPr>
          <w:rFonts w:ascii="Trebuchet MS" w:eastAsia="Trebuchet MS" w:hAnsi="Trebuchet MS" w:cs="Trebuchet MS"/>
          <w:color w:val="1F4E79" w:themeColor="accent1" w:themeShade="80"/>
        </w:rPr>
        <w:t xml:space="preserve"> felülvizsgálatának szempontjait rögzíti.</w:t>
      </w:r>
    </w:p>
    <w:p w14:paraId="50B89A56" w14:textId="77777777" w:rsidR="0033374A" w:rsidRPr="0033374A" w:rsidRDefault="0033374A" w:rsidP="0033374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262361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Dokt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ori Szabályzatban (DSZ) fekteti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le az új képzési program indításának feltételeit. </w:t>
      </w:r>
    </w:p>
    <w:p w14:paraId="0CC0D61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képzési programok elfogadásának folyamata szintén a D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oktori Szabályzat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ban szabályozott. A folyamat egyszerűsített ábrája itt látható:</w:t>
      </w:r>
    </w:p>
    <w:p w14:paraId="5CE1CE6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DB8300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E177FAA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noProof/>
          <w:color w:val="1F4E79" w:themeColor="accent1" w:themeShade="80"/>
        </w:rPr>
        <w:drawing>
          <wp:inline distT="0" distB="0" distL="0" distR="0" wp14:anchorId="5DB6D54E" wp14:editId="4A21FA9C">
            <wp:extent cx="5939790" cy="120332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03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899803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799A3A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Annak érdekében, hogy a Doktori Iskola képzési programjai összhangban álljanak a tudományterületi hazai és nemzetközi kutatás irányaival, a Semmelweis Egyetem céljaival, stratégiáj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ával, valamint a Doktori Iskola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küldetésével és jövőképével, rendszeres időközönként, de legalább évente egy alkalommal, az éves beszámolási időszakban 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>az EDT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ülésén napirendi pontként megbeszélés keretében foglalkoznak a témával.</w:t>
      </w:r>
    </w:p>
    <w:p w14:paraId="6C27FB1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4D938E9" w14:textId="25DF3AAC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képzési programok aktualitására, megfelelőségére a Doktori Iskola vezetője </w:t>
      </w:r>
      <w:r w:rsidR="0034422D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felkérése alapján a tagozatok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áttekintik a jelenlegi képzési programot a következő szempontok szerint:</w:t>
      </w:r>
    </w:p>
    <w:p w14:paraId="2C693776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Tudományterület hazai fejlődése, új trendjei, kutatási eredményei,</w:t>
      </w:r>
    </w:p>
    <w:p w14:paraId="5B816429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Tudományterület nemzetközi fejlődései, új trendjei, kutatási eredményei,</w:t>
      </w:r>
    </w:p>
    <w:p w14:paraId="0DEC5EE0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Új kutatási irányok lehetőségvizsgálata, kockázatai,</w:t>
      </w:r>
    </w:p>
    <w:p w14:paraId="40007305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Új kutatási módszertanok, kutatástechnológiai lehetőségek,</w:t>
      </w:r>
    </w:p>
    <w:p w14:paraId="6C4950C5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Európiai Felsőoktatási Térség céljainak és alapelveinek való megfelelés,</w:t>
      </w:r>
    </w:p>
    <w:p w14:paraId="53AC7A1F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 Semmelweis Egyetem aktuális céljai, stratégiája,</w:t>
      </w:r>
    </w:p>
    <w:p w14:paraId="1AD5C81D" w14:textId="77777777" w:rsidR="005C2E45" w:rsidRPr="00912716" w:rsidRDefault="003442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Egyetem, Doktori Iskola</w:t>
      </w:r>
      <w:r w:rsidR="00DA592E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küldetésének, jövőképének való megfelelőség vizsgálata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,</w:t>
      </w:r>
    </w:p>
    <w:p w14:paraId="166AB3A4" w14:textId="77777777" w:rsidR="005C2E45" w:rsidRPr="00912716" w:rsidRDefault="00DA59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főbb érdekelt felek (hallgatók, saját dolgozók, kutatási partnerek) elvárásainak, igényeinek hatásvizsgálata, különös tekintettel a munkaerőpiaci, beiratkozási, pályakövetési trendekre.</w:t>
      </w:r>
    </w:p>
    <w:p w14:paraId="6C5F08C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az éves jelentésben a fentiekről összefoglalást készít.</w:t>
      </w:r>
    </w:p>
    <w:p w14:paraId="14E086A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49A456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képzési programokhoz szorosan kapcsolódó egyéb eljárásokat, dokumentumokat, mint például a képzési tervet és kurzusokat, tananyagokat, vizsgáztatási feltéteket (tételek, kötelező és ajánlott szakirodalom) évente legalább egyszer a Doktori Iskola </w:t>
      </w:r>
      <w:r w:rsidR="00B50FD5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Tagozatonként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felülvizsgálja, és arról az éves beszámolóban összefoglalót készít.</w:t>
      </w:r>
    </w:p>
    <w:p w14:paraId="2D64611F" w14:textId="12A7B7A5" w:rsidR="005C2E45" w:rsidRPr="00912716" w:rsidRDefault="00C46E78">
      <w:pPr>
        <w:jc w:val="both"/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  <w:r w:rsidRPr="00912716">
        <w:rPr>
          <w:color w:val="1F4E79" w:themeColor="accent1" w:themeShade="80"/>
        </w:rPr>
        <w:t xml:space="preserve"> </w:t>
      </w:r>
    </w:p>
    <w:p w14:paraId="7EEEB5A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</w:p>
    <w:p w14:paraId="26BBCE3E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4" w:name="_Toc218248715"/>
      <w:r w:rsidRPr="00912716">
        <w:rPr>
          <w:color w:val="1F4E79" w:themeColor="accent1" w:themeShade="80"/>
        </w:rPr>
        <w:t>ESG 1.3 Hallgatóközpontú tanulás, tanítás és értékelés</w:t>
      </w:r>
      <w:bookmarkEnd w:id="4"/>
    </w:p>
    <w:p w14:paraId="0DE3DCB2" w14:textId="77777777" w:rsidR="005C2E45" w:rsidRPr="00912716" w:rsidRDefault="005C2E45">
      <w:pPr>
        <w:rPr>
          <w:color w:val="1F4E79" w:themeColor="accent1" w:themeShade="80"/>
        </w:rPr>
      </w:pPr>
    </w:p>
    <w:p w14:paraId="799646AB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1521FC32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biztosítsák képzési programjaik olyan megvalósítását, amely aktív szerepre ösztönzi a hallgatókat a tanulási folyamat létrehozásában. A hallgatók értékelése tükrözze ezt a megközelítést.</w:t>
      </w:r>
    </w:p>
    <w:p w14:paraId="53D4B732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</w:p>
    <w:p w14:paraId="2284D96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a hallgatókkal együttműködve alakítja ki a képzési programjait. Folyamatos kommunikációval, információcserével biztosítják, hogy a hallgatók igényei, előrehaladásuk, eredményességük biztosítva legyen. A Doktori Iskola ennek érdekében szorosan együttműködik a Doktorandusz Önkormányzattal.</w:t>
      </w:r>
    </w:p>
    <w:p w14:paraId="5D93F40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0061E5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rugalmas tanulási útvonala biztosítva van. A jelentkezők dönthetnek arról, hogy a hagyományos, klasszikus (ösztöndíjas és önköltséges) képzési formát választják, vagy egyéni fokozatszerzők lesznek.</w:t>
      </w:r>
    </w:p>
    <w:p w14:paraId="55C7C3D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BB17BE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eredményes előrehaladása érdekében a Doktori Iskola biztosítja a különféle tanítási/pedagógiai módokat, módszereket.</w:t>
      </w:r>
    </w:p>
    <w:p w14:paraId="12EA3FF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FA5408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oktatási módok megvalósulhatnak:</w:t>
      </w:r>
    </w:p>
    <w:p w14:paraId="41AA15D3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Személyes, jelenléti formában,</w:t>
      </w:r>
    </w:p>
    <w:p w14:paraId="351406C3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Online módon,</w:t>
      </w:r>
    </w:p>
    <w:p w14:paraId="5C5428C6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Hibrid módszerben,</w:t>
      </w:r>
    </w:p>
    <w:p w14:paraId="23AD2E24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E-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learning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keretek között,</w:t>
      </w:r>
    </w:p>
    <w:p w14:paraId="45CFD85F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Távoktatás offline formában,</w:t>
      </w:r>
    </w:p>
    <w:p w14:paraId="51AC7E51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Egyéni vagy csoportos keretek között.</w:t>
      </w:r>
    </w:p>
    <w:p w14:paraId="6176C00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oktatók figyelembe veszik az átadandó ismeret, készség, képesség kereteit, és ennek tükrében, valamint saját </w:t>
      </w:r>
      <w:r w:rsidR="00612402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preferált, jól alkalmazható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pedagógia módszereik szerint döntenek a hallgatók számára előnyös oktatási formáról.</w:t>
      </w:r>
    </w:p>
    <w:p w14:paraId="23B23EF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82547F8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Az oktatási módszerek megfelelő kiválasztása érdekében az oktatói közösség figyelembe veszi az aktuális oktatási trendeket, a Doktori Iskola</w:t>
      </w:r>
      <w:r w:rsidR="00612402" w:rsidRPr="00912716">
        <w:rPr>
          <w:rFonts w:ascii="Trebuchet MS" w:eastAsia="Trebuchet MS" w:hAnsi="Trebuchet MS" w:cs="Trebuchet MS"/>
          <w:color w:val="1F4E79" w:themeColor="accent1" w:themeShade="80"/>
        </w:rPr>
        <w:t>, azon belül az adott Tagozat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lehetőségeit, képességeit, </w:t>
      </w:r>
      <w:r w:rsidR="00612402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jó gyakorlatait,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valamint a hallgatói elvárásokat.</w:t>
      </w:r>
    </w:p>
    <w:p w14:paraId="1946B33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855E85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következő főbb oktatási módszerek alkalmazását teszik lehetővé a Doktori Iskolában:</w:t>
      </w:r>
    </w:p>
    <w:p w14:paraId="22BF6DFC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Kurzus,</w:t>
      </w:r>
    </w:p>
    <w:p w14:paraId="24EB133F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Előadás,</w:t>
      </w:r>
    </w:p>
    <w:p w14:paraId="694E224A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Magyarázat,</w:t>
      </w:r>
    </w:p>
    <w:p w14:paraId="758658E1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Elbeszélés,</w:t>
      </w:r>
    </w:p>
    <w:p w14:paraId="3E0CB470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Hallgatói előadás, beszámoló, feladatelkészítés,</w:t>
      </w:r>
    </w:p>
    <w:p w14:paraId="0872FA8B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Megbeszélés,</w:t>
      </w:r>
    </w:p>
    <w:p w14:paraId="3E024F68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Vita,</w:t>
      </w:r>
    </w:p>
    <w:p w14:paraId="79AD295C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Strukturálás,</w:t>
      </w:r>
    </w:p>
    <w:p w14:paraId="0318B3CC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Kérdezés,</w:t>
      </w:r>
    </w:p>
    <w:p w14:paraId="65B658DF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Szemléltetés,</w:t>
      </w:r>
    </w:p>
    <w:p w14:paraId="1F7C52F6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Gyakorlás, hallgató oktatói tevékenységbe vonása,</w:t>
      </w:r>
    </w:p>
    <w:p w14:paraId="7F8759B7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Projekt módszer,</w:t>
      </w:r>
    </w:p>
    <w:p w14:paraId="0689C416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Kooperatív oktatási módszerek,</w:t>
      </w:r>
    </w:p>
    <w:p w14:paraId="6E34242E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Szimuláció, szerepjáték, játék,</w:t>
      </w:r>
    </w:p>
    <w:p w14:paraId="615CEEA5" w14:textId="77777777" w:rsidR="005C2E45" w:rsidRPr="00912716" w:rsidRDefault="00DA59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Visszacsatolás, hallgatói teljesítmény értékelése.</w:t>
      </w:r>
    </w:p>
    <w:p w14:paraId="453C2C8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oktató figyelembe veszi az aktuális, átadandó ismeret sajátosságait, a saját oktatási módszertanainak ismeretét, és ez alapján dönt a megfelelő módszer kiválasztásáról. Az oktatók saját ismereteiket a módszertanok tekintetében fejlesztik.</w:t>
      </w:r>
    </w:p>
    <w:p w14:paraId="3085D35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908D02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rendszeresen értékeli a pedagógiai és oktatási módszertanokat, de legalább évente egy alkalommal, az éves beszámolási időszakban.</w:t>
      </w:r>
    </w:p>
    <w:p w14:paraId="02270A98" w14:textId="1C822C89" w:rsidR="005C2E45" w:rsidRPr="00912716" w:rsidRDefault="006C70CD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</w:p>
    <w:p w14:paraId="2ECE1E3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46927C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Semmelweis Egyetem </w:t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Oktatásfejlesztési, -módszertani és -szervezési Központ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ja folyamatosan rendelkezésre áll és elősegíti a legjobb pedagógiai módszerek, oktatási módszertanok ismertetését:</w:t>
      </w:r>
    </w:p>
    <w:p w14:paraId="4126DB7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18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https://semmelweis.hu/oktatasmodszertan/</w:t>
        </w:r>
      </w:hyperlink>
    </w:p>
    <w:p w14:paraId="0ABD976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66729D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tanulmányi értékelés megfelelőségét a Doktori Iskola szabályozza, annak eredményességét vizsgálja.</w:t>
      </w:r>
    </w:p>
    <w:p w14:paraId="5EBCA62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értékelés során az oktatók részére biztosítva van, hogy:</w:t>
      </w:r>
    </w:p>
    <w:p w14:paraId="063FBF01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oktatók megismerjék, helyesen alkalmazzák a különféle teszt- és vizsgamódszereket, támogatást kapjanak ezirányú képességeik fejlesztésére,</w:t>
      </w:r>
    </w:p>
    <w:p w14:paraId="568F34BF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értékelés kritériumai és módszerei, a vizsgamódszerek kritériumai előre meghatározottak, nyilvánosak,</w:t>
      </w:r>
    </w:p>
    <w:p w14:paraId="4EE763BE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visszajelzést kapnak az értékelés során,</w:t>
      </w:r>
    </w:p>
    <w:p w14:paraId="1DEA607E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ismerik a fellebbezési, panasztételi folyamatot az adott tanulmányi értékelés során.</w:t>
      </w:r>
    </w:p>
    <w:p w14:paraId="43848DE7" w14:textId="77777777" w:rsidR="005C2E45" w:rsidRPr="00912716" w:rsidRDefault="005C2E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F449F5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 Doktori Iskola szabályozza a témavezető és hallgató közötti kapcsolattartás intenzitását, az együttműködés sikerességét.</w:t>
      </w:r>
    </w:p>
    <w:p w14:paraId="16A2F228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 és témavezető közötti kapcsolat megfelelőségére, az együttműködés szabályosságára kritériumokat határoznak meg, mely minimum a következő tartalmi elemeket foglalja magába:</w:t>
      </w:r>
    </w:p>
    <w:p w14:paraId="04309890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Kapcsolattartás gyakorisága, formái,</w:t>
      </w:r>
    </w:p>
    <w:p w14:paraId="57599059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Válaszadási keretek (idő, forma)</w:t>
      </w:r>
    </w:p>
    <w:p w14:paraId="22037D7A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Hallgató beszámolási kötelezettségének kritériumai,</w:t>
      </w:r>
    </w:p>
    <w:p w14:paraId="7AF16E4F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Együttműködés értékelésének keretei,</w:t>
      </w:r>
    </w:p>
    <w:p w14:paraId="1B21C75C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Együttműködés sikerességének értékelése (megfelelőség,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problémák,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stb.).</w:t>
      </w:r>
    </w:p>
    <w:p w14:paraId="79E9D53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AA63D36" w14:textId="77777777" w:rsidR="005C2E45" w:rsidRPr="00912716" w:rsidRDefault="001F62A4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témavezető a hallgató tanulmányi, kutatási feladatainak felügyeletéhez egyéb munkatársak segítő munkáját is igénybe veheti operatív ügyekben. Erről a tényről, a segítő személynek feladatairól a hallgatót tájékoztatják.</w:t>
      </w:r>
      <w:r w:rsidR="00DA592E" w:rsidRPr="00912716">
        <w:rPr>
          <w:rFonts w:ascii="Trebuchet MS" w:eastAsia="Trebuchet MS" w:hAnsi="Trebuchet MS" w:cs="Trebuchet MS"/>
          <w:color w:val="1F4E79" w:themeColor="accent1" w:themeShade="80"/>
        </w:rPr>
        <w:br w:type="page"/>
      </w:r>
    </w:p>
    <w:p w14:paraId="7686EEF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  <w:sz w:val="20"/>
          <w:szCs w:val="20"/>
        </w:rPr>
      </w:pPr>
    </w:p>
    <w:p w14:paraId="318B9730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5" w:name="_Toc218248716"/>
      <w:r w:rsidRPr="00912716">
        <w:rPr>
          <w:color w:val="1F4E79" w:themeColor="accent1" w:themeShade="80"/>
        </w:rPr>
        <w:t>ESG 1.4 A hallgatók felvétele, előrehaladása, tanulmányaik elismerése, és a képesítés odaítélése</w:t>
      </w:r>
      <w:bookmarkEnd w:id="5"/>
    </w:p>
    <w:p w14:paraId="5333CB4D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050B3207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198ADCFC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következetesen alkalmazzák a teljes hallgatói életciklust lefedő, előzetesen meghatározott és közzétett szabályzataikat, például a hallgatók felvétele, előrehaladása, tanulmányaik elismerése és a képesítés odaítélése tekintetében.</w:t>
      </w:r>
    </w:p>
    <w:p w14:paraId="7F4C69FD" w14:textId="77777777" w:rsidR="005C2E45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77B714D" w14:textId="77777777" w:rsidR="009258AE" w:rsidRDefault="009258A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FE811B4" w14:textId="6E567C57" w:rsidR="009258AE" w:rsidRDefault="009258A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258AE">
        <w:rPr>
          <w:rFonts w:ascii="Trebuchet MS" w:eastAsia="Trebuchet MS" w:hAnsi="Trebuchet MS" w:cs="Trebuchet MS"/>
          <w:color w:val="1F4E79" w:themeColor="accent1" w:themeShade="80"/>
        </w:rPr>
        <w:t xml:space="preserve">A hallgatók felvételére, előrehaladására és fokozatszerzésére vonatkozó részletes szabályokat a Doktori Szabályzat tartalmazza; jelen keretrendszer e folyamatok </w:t>
      </w:r>
      <w:proofErr w:type="spellStart"/>
      <w:r w:rsidRPr="009258AE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258AE">
        <w:rPr>
          <w:rFonts w:ascii="Trebuchet MS" w:eastAsia="Trebuchet MS" w:hAnsi="Trebuchet MS" w:cs="Trebuchet MS"/>
          <w:color w:val="1F4E79" w:themeColor="accent1" w:themeShade="80"/>
        </w:rPr>
        <w:t xml:space="preserve"> támogatását és átláthatóságát írja le.</w:t>
      </w:r>
    </w:p>
    <w:p w14:paraId="505EF876" w14:textId="77777777" w:rsidR="009258AE" w:rsidRPr="00912716" w:rsidRDefault="009258A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18B02D3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hallgatók felvétele</w:t>
      </w:r>
    </w:p>
    <w:p w14:paraId="3CF8327E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18B5DD7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hallgatói felvétel keretei a </w:t>
      </w:r>
      <w:hyperlink r:id="rId19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Doktori Szabályzatban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meghatározottak.</w:t>
      </w:r>
    </w:p>
    <w:p w14:paraId="13FD37C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képzések iránt érdeklődők a </w:t>
      </w:r>
      <w:r w:rsidR="001F62A4" w:rsidRPr="00912716">
        <w:rPr>
          <w:rFonts w:ascii="Trebuchet MS" w:eastAsia="Trebuchet MS" w:hAnsi="Trebuchet MS" w:cs="Trebuchet MS"/>
          <w:color w:val="1F4E79" w:themeColor="accent1" w:themeShade="80"/>
        </w:rPr>
        <w:t>Doktori Iskola honlapjáról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közvetlenül is tájékozódhatnak.</w:t>
      </w:r>
    </w:p>
    <w:p w14:paraId="7452A80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206399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felvételi tájékoztatóban is ismerteti a szükséges információkat az érdeklődőknek és felvételizőknek, mely magába foglalja a következőket:</w:t>
      </w:r>
    </w:p>
    <w:p w14:paraId="63DB3BBA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felvételi eljárás szabályait,</w:t>
      </w:r>
    </w:p>
    <w:p w14:paraId="6C8F366B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felvételi követelményeket,</w:t>
      </w:r>
    </w:p>
    <w:p w14:paraId="4D279DA2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Szabályzat hivatkozó részeit,</w:t>
      </w:r>
    </w:p>
    <w:p w14:paraId="03D725F3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felvételi űrlapot</w:t>
      </w:r>
      <w:r w:rsidR="001F62A4" w:rsidRPr="00912716">
        <w:rPr>
          <w:rFonts w:ascii="Trebuchet MS" w:eastAsia="Trebuchet MS" w:hAnsi="Trebuchet MS" w:cs="Trebuchet MS"/>
          <w:color w:val="1F4E79" w:themeColor="accent1" w:themeShade="80"/>
        </w:rPr>
        <w:t>/online platformot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,</w:t>
      </w:r>
    </w:p>
    <w:p w14:paraId="6FD78370" w14:textId="77777777" w:rsidR="005C2E45" w:rsidRPr="00912716" w:rsidRDefault="00DA59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felvételi eljárás, jelentkezési folyamat felvételizőre vonatkozó elvárásait (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check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-lista a teendőkről).</w:t>
      </w:r>
    </w:p>
    <w:p w14:paraId="39DA475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5EEA9FF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hallgatói előrehaladás</w:t>
      </w:r>
    </w:p>
    <w:p w14:paraId="2FFC5EA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FC6E26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a felvételi eljárás után, már doktoranduszokként megismerik az előrehaladásuk szabályait.</w:t>
      </w:r>
    </w:p>
    <w:p w14:paraId="0BE9B304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Doktori Iskola a hallgató számára biztosítja a Doktori Szabályzat elérését, melyben le van fektetve az előrehaladás feltétele (képzési keretek, kreditek,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vizsgák,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stb.).</w:t>
      </w:r>
    </w:p>
    <w:p w14:paraId="1F85492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753B5C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-honlapján „Hallgatóknak” címszó alatt bemutatásra kerülnek a képzési formák, fontosabb határidők, díjtételek, képzési követelmények, hallgatói szolgáltatások.</w:t>
      </w:r>
    </w:p>
    <w:p w14:paraId="4170987C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796B20E" w14:textId="77777777" w:rsidR="005C2E45" w:rsidRPr="00912716" w:rsidRDefault="001F62A4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-honlapján</w:t>
      </w:r>
      <w:r w:rsidR="00DA592E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ismertetésre kerülnek a vizsgáztatási, értékelési, előrehaladási feltételek.</w:t>
      </w:r>
    </w:p>
    <w:p w14:paraId="0B3970D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oktatók, hallgatók számára szükséges működési keretek, belső szabályzatok innen is elérhetők:</w:t>
      </w:r>
    </w:p>
    <w:p w14:paraId="4CDC86E2" w14:textId="6A414515" w:rsidR="004A4FFF" w:rsidRPr="00912716" w:rsidRDefault="00215A9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0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https://semmelweis.hu/phd/dokumentumok/szabalyzatok/</w:t>
        </w:r>
      </w:hyperlink>
    </w:p>
    <w:p w14:paraId="1B038440" w14:textId="346D8EEB" w:rsidR="005C2E45" w:rsidRPr="00912716" w:rsidRDefault="00215A9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Angol nyelven:</w:t>
      </w:r>
    </w:p>
    <w:p w14:paraId="1CC04AB9" w14:textId="3E1D59FD" w:rsidR="00215A98" w:rsidRPr="00912716" w:rsidRDefault="00215A9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1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https://semmelweis.hu/phd/en/dokumentumtar-en/</w:t>
        </w:r>
      </w:hyperlink>
    </w:p>
    <w:p w14:paraId="2570A1A3" w14:textId="77777777" w:rsidR="00215A98" w:rsidRPr="00912716" w:rsidRDefault="00215A9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0F53D00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0B321A38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1C249B81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7D677256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Doktoranduszok oktatási tevékenysége</w:t>
      </w:r>
    </w:p>
    <w:p w14:paraId="049A4236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2CEAB39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doktoranduszok oktatási tevékenységben való közreműködése a Doktori Szabályzat szerint szabályozott. A hallgató ismeri a vele szemben felállított oktatási tevékenység kereteit.</w:t>
      </w:r>
    </w:p>
    <w:p w14:paraId="42F759A7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doktorandusz témavezetője felügyeli az oktatási tevékenységet, a hallgató oktatásba vonása előtt meggyőződik minimum a következőkről:</w:t>
      </w:r>
    </w:p>
    <w:p w14:paraId="26373A4E" w14:textId="77777777" w:rsidR="005C2E45" w:rsidRPr="00912716" w:rsidRDefault="00DA5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doktorandusz oktatási kvalitásairól (képes előadni az anyagot, megfelelő szintű készsége van előadóként szerepelni, képes az időkereteket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tartani,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stb.)</w:t>
      </w:r>
    </w:p>
    <w:p w14:paraId="2FC4859F" w14:textId="77777777" w:rsidR="005C2E45" w:rsidRPr="00912716" w:rsidRDefault="00DA5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oktatás célját, az oktatandó anyagot mélységében, az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oktatottak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körét ismeri, képes kérdésekre válaszolni a hallgatóknak,</w:t>
      </w:r>
    </w:p>
    <w:p w14:paraId="214702F3" w14:textId="77777777" w:rsidR="005C2E45" w:rsidRPr="00912716" w:rsidRDefault="00DA5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képes beszámolni a témavezetőnek az oktatási tevékenységéről,</w:t>
      </w:r>
    </w:p>
    <w:p w14:paraId="3C48E41E" w14:textId="77777777" w:rsidR="005C2E45" w:rsidRPr="00912716" w:rsidRDefault="00DA592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képes fejlesztési javaslatokat megfogalmazni a tapasztalatai alapján.</w:t>
      </w:r>
    </w:p>
    <w:p w14:paraId="5364237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Ennek érdekében a témavezető vagy az általa kijelölt személy próbaoktatáson vesz részt, ennek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figyelembe vételével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bízza meg a doktoranduszt oktatási tevékenységgel.</w:t>
      </w:r>
    </w:p>
    <w:p w14:paraId="43B0B05E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C6AEBD3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Képzés elvégzése, befejezése</w:t>
      </w:r>
    </w:p>
    <w:p w14:paraId="5CE5EA2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B548E3D" w14:textId="75086F31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végzés folyamata szabályozott keretek között működik</w:t>
      </w:r>
      <w:r w:rsidR="001F62A4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Doktori Iskolában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. A hallgató a jogszabályok, belső szabályzók figyelembevételével kapják meg a végzettségről szóló dokumentumokat. A folyamat szabályosságát a </w:t>
      </w:r>
      <w:hyperlink r:id="rId22">
        <w:r w:rsidR="0043702E" w:rsidRPr="00912716">
          <w:rPr>
            <w:rFonts w:ascii="Trebuchet MS" w:eastAsia="Trebuchet MS" w:hAnsi="Trebuchet MS" w:cs="Trebuchet MS"/>
            <w:color w:val="1F4E79" w:themeColor="accent1" w:themeShade="80"/>
          </w:rPr>
          <w:t>Doktori</w:t>
        </w:r>
      </w:hyperlink>
      <w:r w:rsidR="0043702E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Hivatal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felügyeli.</w:t>
      </w:r>
      <w:r w:rsidRPr="00912716">
        <w:rPr>
          <w:color w:val="1F4E79" w:themeColor="accent1" w:themeShade="80"/>
        </w:rPr>
        <w:br w:type="page"/>
      </w:r>
    </w:p>
    <w:p w14:paraId="75E1C393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6" w:name="_Toc218248717"/>
      <w:r w:rsidRPr="00912716">
        <w:rPr>
          <w:color w:val="1F4E79" w:themeColor="accent1" w:themeShade="80"/>
        </w:rPr>
        <w:lastRenderedPageBreak/>
        <w:t>ESG 1.5 Oktatók</w:t>
      </w:r>
      <w:bookmarkEnd w:id="6"/>
    </w:p>
    <w:p w14:paraId="7118E3B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2E42942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660FC415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biztosítsák, hogy oktatóik megfelelő kompetenciával rendelkezzenek. Alkalmazzanak méltányos és átlátható eljárásokat oktatóik toborzására és továbbképzésére.</w:t>
      </w:r>
    </w:p>
    <w:p w14:paraId="05E2442E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45E576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24CCBB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</w:t>
      </w:r>
      <w:r w:rsidR="001F62A4" w:rsidRPr="00912716">
        <w:rPr>
          <w:rFonts w:ascii="Trebuchet MS" w:eastAsia="Trebuchet MS" w:hAnsi="Trebuchet MS" w:cs="Trebuchet MS"/>
          <w:color w:val="1F4E79" w:themeColor="accent1" w:themeShade="80"/>
        </w:rPr>
        <w:t>a ismeri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vonatkozó jogszabályokat, aktuális ajánlásokat, belső szabályzókat. Ennek megfelelően a következő témákban az oktatókkal kapcsolatos elvárásokat, ismereteket, működési kereteket tartja be.</w:t>
      </w:r>
    </w:p>
    <w:p w14:paraId="172FDA2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1D136F4" w14:textId="34ADC1AA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Doktori Iskol</w:t>
      </w:r>
      <w:r w:rsidR="00AE78B1" w:rsidRPr="00912716">
        <w:rPr>
          <w:rFonts w:ascii="Trebuchet MS" w:eastAsia="Trebuchet MS" w:hAnsi="Trebuchet MS" w:cs="Trebuchet MS"/>
          <w:b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 Törzstagjai</w:t>
      </w:r>
    </w:p>
    <w:p w14:paraId="7236033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D26F169" w14:textId="2AC00DD4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Szabályzat</w:t>
      </w:r>
      <w:r w:rsidR="004A29AD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ban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lefektetett feltételekkel lehet valaki törzstag. A mindenkori, aktuális törzstagokat, emeritus törzstagokat a Doktori Iskola az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alhonlapján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megjelenteti, valamint szükség szerint frissítteti a </w:t>
      </w:r>
      <w:hyperlink r:id="rId23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https://doktori.hu/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oldalon.</w:t>
      </w:r>
    </w:p>
    <w:p w14:paraId="7A08101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25E8FD0" w14:textId="2C50F720" w:rsidR="005C2E45" w:rsidRPr="00912716" w:rsidRDefault="001F62A4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Tagozatvezető</w:t>
      </w:r>
      <w:r w:rsidR="00090DD1" w:rsidRPr="00912716">
        <w:rPr>
          <w:rFonts w:ascii="Trebuchet MS" w:eastAsia="Trebuchet MS" w:hAnsi="Trebuchet MS" w:cs="Trebuchet MS"/>
          <w:b/>
          <w:color w:val="1F4E79" w:themeColor="accent1" w:themeShade="80"/>
        </w:rPr>
        <w:t>, programvezető, témavezető</w:t>
      </w:r>
      <w:r w:rsidR="008E3027" w:rsidRPr="00912716">
        <w:rPr>
          <w:rFonts w:ascii="Trebuchet MS" w:eastAsia="Trebuchet MS" w:hAnsi="Trebuchet MS" w:cs="Trebuchet MS"/>
          <w:b/>
          <w:color w:val="1F4E79" w:themeColor="accent1" w:themeShade="80"/>
        </w:rPr>
        <w:t>, konzulens, oktató</w:t>
      </w:r>
    </w:p>
    <w:p w14:paraId="20BFD470" w14:textId="77777777" w:rsidR="001F62A4" w:rsidRPr="00912716" w:rsidRDefault="001F62A4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7AE7567" w14:textId="1A4509F8" w:rsidR="00204C00" w:rsidRPr="00912716" w:rsidRDefault="00933916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</w:t>
      </w:r>
      <w:r w:rsidR="00C04DF8" w:rsidRPr="00912716">
        <w:rPr>
          <w:rFonts w:ascii="Trebuchet MS" w:eastAsia="Trebuchet MS" w:hAnsi="Trebuchet MS" w:cs="Trebuchet MS"/>
          <w:color w:val="1F4E79" w:themeColor="accent1" w:themeShade="80"/>
        </w:rPr>
        <w:t>felelős</w:t>
      </w:r>
      <w:r w:rsidR="005D59A8" w:rsidRPr="00912716">
        <w:rPr>
          <w:rFonts w:ascii="Trebuchet MS" w:eastAsia="Trebuchet MS" w:hAnsi="Trebuchet MS" w:cs="Trebuchet MS"/>
          <w:color w:val="1F4E79" w:themeColor="accent1" w:themeShade="80"/>
        </w:rPr>
        <w:t>ök</w:t>
      </w:r>
      <w:r w:rsidR="00C04DF8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r w:rsidR="00AB2439" w:rsidRPr="00912716">
        <w:rPr>
          <w:rFonts w:ascii="Trebuchet MS" w:eastAsia="Trebuchet MS" w:hAnsi="Trebuchet MS" w:cs="Trebuchet MS"/>
          <w:color w:val="1F4E79" w:themeColor="accent1" w:themeShade="80"/>
        </w:rPr>
        <w:t>feladatait a Doktori Szabályzat részletezi</w:t>
      </w:r>
      <w:r w:rsidR="00C04DF8"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7A45972A" w14:textId="77777777" w:rsidR="001F62A4" w:rsidRPr="00912716" w:rsidRDefault="001F62A4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18590B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C0D131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CA35BE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Doktori Iskolája az oktatói minőségéért, hatékony oktatói munkát támogató körülményeiért felel, azoknak minőségét biztosítja a következő feltételek figyelembevételével:</w:t>
      </w:r>
    </w:p>
    <w:p w14:paraId="1209D6B5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Oktatási infrastruktúra biztosítása, fejlesztése,</w:t>
      </w:r>
    </w:p>
    <w:p w14:paraId="1E7EA829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Oktatói munka egyenletes terhelésének biztosítása,</w:t>
      </w:r>
    </w:p>
    <w:p w14:paraId="7C05EE87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Oktatók személyes, szakmai, kutatási fejlődésének segítése,</w:t>
      </w:r>
    </w:p>
    <w:p w14:paraId="0A9CB5BF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Oktatói kutatási tevékenység támogatása (konferencia részvétel, publikáció,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pályázatírás,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stb.),</w:t>
      </w:r>
    </w:p>
    <w:p w14:paraId="38F507E0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Oktatók pedagógiai ismereteinek előmozdítása,</w:t>
      </w:r>
    </w:p>
    <w:p w14:paraId="2B3BEBA7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Oktatók oktatási tevékenységükkel kapcsolatos értékelése, visszajelzése,</w:t>
      </w:r>
    </w:p>
    <w:p w14:paraId="34CC1FE3" w14:textId="77777777" w:rsidR="005C2E45" w:rsidRPr="00912716" w:rsidRDefault="00DA59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Oktatói, kutatói kapcsolatok (hazai és nemzetközi) kialakításnak támogatása.</w:t>
      </w:r>
    </w:p>
    <w:p w14:paraId="15F0267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900D61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021D39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color w:val="1F4E79" w:themeColor="accent1" w:themeShade="80"/>
        </w:rPr>
        <w:br w:type="page"/>
      </w:r>
    </w:p>
    <w:p w14:paraId="5CBE701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0DFEDEB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7" w:name="_Toc218248718"/>
      <w:r w:rsidRPr="00912716">
        <w:rPr>
          <w:color w:val="1F4E79" w:themeColor="accent1" w:themeShade="80"/>
        </w:rPr>
        <w:t>ESG 1.6 Tanulástámogatás és hallgatói szolgáltatások</w:t>
      </w:r>
      <w:bookmarkEnd w:id="7"/>
    </w:p>
    <w:p w14:paraId="79B6FAA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BB9DD68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246FE6C7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megfelelő finanszírozási forrásokkal rendelkezzenek a tanulási és tanítási tevékenységekhez, valamint biztosítsanak adekvát és könnyen hozzáférhető tanulástámogató feltételeket és hallgatói szolgáltatásokat.</w:t>
      </w:r>
    </w:p>
    <w:p w14:paraId="73F52DD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FEC913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képzés a Semmelweis Egyetem minőségi elvárásainak megfelelően körültekintően vizsgálja az oktatási infrastruktúra mennyiségi, minőségi feltételeit, az oktatók, kutatók, és hallgatók hozzáférési lehetőségeit. A Doktori Iskola folyamatosan vizsgálja ezen feltételeket, és lehetőségeihez képest fejleszti.</w:t>
      </w:r>
    </w:p>
    <w:p w14:paraId="518C75A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48A4CC1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Oktatási feltételek biztosítása</w:t>
      </w:r>
    </w:p>
    <w:p w14:paraId="18AF4DB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845823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oktatási helyiségek, termek rendelkezésre állását a következő tervezéssel, szervezéssel, tevékenységek elvégzésével biztosítjuk:</w:t>
      </w:r>
    </w:p>
    <w:p w14:paraId="3DA1EAF9" w14:textId="77777777" w:rsidR="005C2E45" w:rsidRPr="00912716" w:rsidRDefault="00DA59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oktatási helyiségek szétosztására az igényfelmérések után (szemeszterek előtt, kurzusindítás előtt) a DI adminisztrációs munkatársai felügyelik annak hatékony megvalósulását. A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Neptun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rendszerben az adott kurzus mellett az oktatási tanterem is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megjelenítődik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ahol ténylegesen történik az oktatás. </w:t>
      </w:r>
    </w:p>
    <w:p w14:paraId="07C02E9F" w14:textId="77777777" w:rsidR="005C2E45" w:rsidRPr="00912716" w:rsidRDefault="00DA59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tervezési részben figyelembe veszik a helyszínt, a terem befogadóképességét, a kurzus típusának megfelelő eszközök, berendezések rendelkezésre állását</w:t>
      </w:r>
      <w:r w:rsidR="001F62A4" w:rsidRPr="00912716">
        <w:rPr>
          <w:rFonts w:ascii="Trebuchet MS" w:eastAsia="Trebuchet MS" w:hAnsi="Trebuchet MS" w:cs="Trebuchet MS"/>
          <w:color w:val="1F4E79" w:themeColor="accent1" w:themeShade="80"/>
        </w:rPr>
        <w:t>, a hallgatók helyszínre jutási idejét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72C94D45" w14:textId="77777777" w:rsidR="005C2E45" w:rsidRPr="00912716" w:rsidRDefault="005C2E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FA64328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oktatók, kutatók szobája, tevékenységükhöz szükséges hely, eszköz,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anyag,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stb. a következők szerint biztosítottak:</w:t>
      </w:r>
    </w:p>
    <w:p w14:paraId="186B2F5F" w14:textId="77777777" w:rsidR="005C2E45" w:rsidRPr="00912716" w:rsidRDefault="00DA592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képzésében résztvevő szervezeti egységek biztosítják az oktatók, kutatók megfelelő munkakörnyezetének szükséges és elégséges rendelkezésre állását, amellett, hogy a Doktori Iskola folyamatosan keresi azokat a forrásokat, amivel optimalizálni lehet a megfelelő munkakörnyezet és munkafeltétel biztosítását.</w:t>
      </w:r>
    </w:p>
    <w:p w14:paraId="6305212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6D6E17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oktatók, kutatók, hallgatók számára a következő feltételeket biztosítja a Semmelweis Egyetem egységesen a szakirodalmi tevékenységük, könyvtári szolgáltatások, adatbázisok elérése, informatikai eszközök elérhetősége érdekében:</w:t>
      </w:r>
    </w:p>
    <w:p w14:paraId="0C94607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345344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Egyetem Központi Könyvtárának szolgáltatása: </w:t>
      </w:r>
      <w:hyperlink r:id="rId24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https://lib.semmelweis.hu/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</w:p>
    <w:p w14:paraId="00F293F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 könyvtára számos szakirodalom elérésével, adatbázissal, kutatástámogató szolgáltatással segíti az érdekelt feleit.</w:t>
      </w:r>
    </w:p>
    <w:p w14:paraId="7522D885" w14:textId="57B24033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Központi Könyvtá</w:t>
      </w:r>
      <w:r w:rsidR="008404CD" w:rsidRPr="00912716">
        <w:rPr>
          <w:rFonts w:ascii="Trebuchet MS" w:eastAsia="Trebuchet MS" w:hAnsi="Trebuchet MS" w:cs="Trebuchet MS"/>
          <w:color w:val="1F4E79" w:themeColor="accent1" w:themeShade="80"/>
        </w:rPr>
        <w:t>r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Semmelweis Egyetem hallgatói és kutatói számára, </w:t>
      </w:r>
      <w:r w:rsidR="00904D16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országban egyedülálló módon az év minden napján 24 órában áll a hallgatók rendelkezésére.</w:t>
      </w:r>
    </w:p>
    <w:p w14:paraId="54D9613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 oktatói, kutatói, és hallgatói részére az Informatikai Igazgatóság (oktatók, kutatók) valamint a Központi Könyvtár (hallgató) VPN szolgáltatást nyújt az egyetemi polgárok számára, melynek segítségével bárhonnan elérik a Központi Könyvtár által menedzselt szakirodalmi infrastruktúrát.</w:t>
      </w:r>
    </w:p>
    <w:p w14:paraId="3272C2B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 Központi Könyvtár jelenleg 35 különféle adatbázisra és több mint 8500 szak- és határterületi folyóiratra fizet elő, melyekből évente több mint 1 500 000 letöltés történik az hálózatából.</w:t>
      </w:r>
    </w:p>
    <w:p w14:paraId="77A48A2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E5498F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publikálási folyamat támogatása érdekébeni szintén több szolgáltatást biztosít:</w:t>
      </w:r>
    </w:p>
    <w:p w14:paraId="0E7D0863" w14:textId="77777777" w:rsidR="005C2E45" w:rsidRPr="00912716" w:rsidRDefault="00DA59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Open Access közlés támogatása (anyagi és módszertani): </w:t>
      </w:r>
      <w:hyperlink r:id="rId25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https://lib.semmelweis.hu/open_access_tamogatas</w:t>
        </w:r>
      </w:hyperlink>
    </w:p>
    <w:p w14:paraId="6DB76A8B" w14:textId="77777777" w:rsidR="005C2E45" w:rsidRPr="00912716" w:rsidRDefault="00DA59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Publikálási módszertani útmutató:</w:t>
      </w:r>
    </w:p>
    <w:p w14:paraId="307F599F" w14:textId="77777777" w:rsidR="005C2E45" w:rsidRPr="00912716" w:rsidRDefault="00DA592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6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https://lib.semmelweis.hu/publikacios_utmutato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(Csak SE hálózatból látható)</w:t>
      </w:r>
    </w:p>
    <w:p w14:paraId="209DFDCF" w14:textId="77777777" w:rsidR="005C2E45" w:rsidRPr="00912716" w:rsidRDefault="00DA592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Szakirodalmi keresőrendszerek használatának oktatása:</w:t>
      </w:r>
    </w:p>
    <w:p w14:paraId="681EA7E4" w14:textId="77777777" w:rsidR="005C2E45" w:rsidRPr="00912716" w:rsidRDefault="00DA592E">
      <w:pPr>
        <w:ind w:left="360" w:firstLine="348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7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https://lib.semmelweis.hu/oktatas</w:t>
        </w:r>
      </w:hyperlink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</w:p>
    <w:p w14:paraId="7B1BD0C8" w14:textId="77777777" w:rsidR="005C2E45" w:rsidRPr="00912716" w:rsidRDefault="005C2E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5258BA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C6A8CCF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Eszközök, berendezések, laboratóriumi feltételek biztosítása</w:t>
      </w:r>
    </w:p>
    <w:p w14:paraId="5EA8BBA3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A333F4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működő laboratóriumok számára, a kutatásban használt eszközökre, berendezésekre az adott laboratórium/szervezeti egység vezetője mindenkor biztosítja a megfelelő működési feltételeket, figyelembe véve az ISO 9001:2015 szabvány - Megfigyeléshez és méréshez szükséges erőforrások részben foglalt feltételeket:</w:t>
      </w:r>
    </w:p>
    <w:p w14:paraId="6B0F18D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„A szervezetnek meg kell határoznia és biztosítania kell azokat az erőforrásokat, amelyek érvényes és megbízható eredmények biztosításához szükségesek, amikor megfigyelést vagy mérést alkalmaznak annak igazolására, hogy a termékek és szolgáltatások megfelelnek a követelményeknek.</w:t>
      </w:r>
    </w:p>
    <w:p w14:paraId="3D39346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szervezetnek gondoskodnia kell arról, hogy a biztosított erőforrások:</w:t>
      </w:r>
    </w:p>
    <w:p w14:paraId="569CC2D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a)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ab/>
        <w:t>alkalmasak legyenek az elvégzendő figyelemmel kísérési és mérési tevékenységek meghatározott típusához;</w:t>
      </w:r>
    </w:p>
    <w:p w14:paraId="56EA8C8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b)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ab/>
        <w:t>karbantartottak legyenek, hogy biztosítsák a céljuknak való folyamatos alkalmasságukat.</w:t>
      </w:r>
    </w:p>
    <w:p w14:paraId="7F1D6D74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szervezetnek megfelelő dokumentált információt kell megőriznie bizonyítékként a megfigyelési és mérési erőforrások adott célra való alkalmasságáról.”</w:t>
      </w:r>
    </w:p>
    <w:p w14:paraId="26FD029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35A0418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mérés visszavezethetősége érdekében a következőket teszi:</w:t>
      </w:r>
    </w:p>
    <w:p w14:paraId="3F5BFC5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„Amikor a mérés visszavezethetősége követelmény, vagy a szervezet tekinti a mérési eredmények érvényességébe vetett bizalom kialakítása lényeges részének, akkor a mérőeszközöket:</w:t>
      </w:r>
    </w:p>
    <w:p w14:paraId="46ED47F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a)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ab/>
        <w:t>meghatározott időközönként vagy használatba vétel előtt igazolni vagy kalibrálni kell, vagy mindkét tevékenységet el kell végezni, olyan mérési etalonokhoz viszonyítva, amelyek visszavezethetők nemzetközi vagy nemzeti mérési etalonokra; ha ilyen etalonok nem léteznek, akkor a kalibrálás vagy az igazolás alapját meg kell őrizni dokumentált információként;</w:t>
      </w:r>
    </w:p>
    <w:p w14:paraId="17EF845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b)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ab/>
        <w:t>azonosítani kell annak érdekében, hogy meghatározzák az állapotukat;</w:t>
      </w:r>
    </w:p>
    <w:p w14:paraId="5AB49F6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c)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ab/>
        <w:t xml:space="preserve">meg kell védeni az olyan beállításoktól, sérüléstől vagy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elhasználódástól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amelyek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érvénytelenítenék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kalibrált állapotot és azt követően a mérési eredményeket.</w:t>
      </w:r>
    </w:p>
    <w:p w14:paraId="5E53E2D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szervezetnek meg kell határoznia, hogy káros hatással volt-e a megelőző mérési eredmények érvényességére, ha egy mérőeszköz alkalmatlannak bizonyul rendeltetés szerinti céljára, és megfelelő intézkedést kell tennie, ha szükséges.”</w:t>
      </w:r>
    </w:p>
    <w:p w14:paraId="5331792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C02292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Kiegészítve a fentieket azzal, hogy az orvostechnikai eszközökre vonatkozó speciális szabályokat is betartják.</w:t>
      </w:r>
    </w:p>
    <w:p w14:paraId="69F1C8C2" w14:textId="7FB2459C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Ezen kívül a Helyes Laboratóriumi Gyakorlat (Good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Laboratory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Practice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– GLP) elvárásai</w:t>
      </w:r>
      <w:r w:rsidR="00301AD7" w:rsidRPr="00912716">
        <w:rPr>
          <w:rFonts w:ascii="Trebuchet MS" w:eastAsia="Trebuchet MS" w:hAnsi="Trebuchet MS" w:cs="Trebuchet MS"/>
          <w:color w:val="1F4E79" w:themeColor="accent1" w:themeShade="80"/>
        </w:rPr>
        <w:t>t is figyelembe veszik a működtetés során.</w:t>
      </w:r>
    </w:p>
    <w:p w14:paraId="7BAFA38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C213ED9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hallgatók szempontjából fontos tanulmányi ügyintézés</w:t>
      </w:r>
    </w:p>
    <w:p w14:paraId="4274C55A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14C3E238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ügyeivel kapcsolatos fontosabb tudnivalók megtalálhatók a Doktori képzés honlapján:</w:t>
      </w:r>
    </w:p>
    <w:p w14:paraId="39CA2DA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8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https://semmelweis.hu/phd/</w:t>
        </w:r>
      </w:hyperlink>
    </w:p>
    <w:p w14:paraId="1C451E3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Doktori Iskola a saját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-honlapján biztosítja a honlap naprakészségét. Ez biztosított azáltal, hogy a friss információkat azok esedékessége idejében teszik közzé. A folyamatok, szabályozási keretek változásakor a DI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-honlapjának szerkesztéséért felelős személy a honlapon szerepeltetett információkat áttekinti, szükség esetén módosítja. A feladatot az esedékesség idején, de minimum negyedévente elvégzi. Az </w:t>
      </w:r>
      <w:proofErr w:type="spellStart"/>
      <w:r w:rsidR="001D2980"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="001D2980" w:rsidRPr="00912716">
        <w:rPr>
          <w:rFonts w:ascii="Trebuchet MS" w:eastAsia="Trebuchet MS" w:hAnsi="Trebuchet MS" w:cs="Trebuchet MS"/>
          <w:color w:val="1F4E79" w:themeColor="accent1" w:themeShade="80"/>
        </w:rPr>
        <w:t>-honlap felügyeletét évente a Doktori Hivatal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felülvizsgálja a megbízottja(i) által. Az éves beszámolóban a fel</w:t>
      </w:r>
      <w:r w:rsidR="001D2980" w:rsidRPr="00912716">
        <w:rPr>
          <w:rFonts w:ascii="Trebuchet MS" w:eastAsia="Trebuchet MS" w:hAnsi="Trebuchet MS" w:cs="Trebuchet MS"/>
          <w:color w:val="1F4E79" w:themeColor="accent1" w:themeShade="80"/>
        </w:rPr>
        <w:t>ügyeleti eredményekről beszámolnak.</w:t>
      </w:r>
    </w:p>
    <w:p w14:paraId="22A48AE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D70B95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hallgatók a legszükségesebb tudnivalókat a „Hallgatóknak”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alfül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alatt, valamint a „Dokumentumok” résznél találhatják meg. </w:t>
      </w:r>
    </w:p>
    <w:p w14:paraId="08835C7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képzés egészével kapcsolatos tudnivalókban, információkban a Doktori Hivatal áll rendelkezésre, míg a </w:t>
      </w:r>
      <w:r w:rsidR="00CD2C37" w:rsidRPr="00912716">
        <w:rPr>
          <w:rFonts w:ascii="Trebuchet MS" w:eastAsia="Trebuchet MS" w:hAnsi="Trebuchet MS" w:cs="Trebuchet MS"/>
          <w:color w:val="1F4E79" w:themeColor="accent1" w:themeShade="80"/>
        </w:rPr>
        <w:t>Tagozatok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saját adminisztrációja a speciális kérdésekben tud segíteni az érdeklődőknek.</w:t>
      </w:r>
    </w:p>
    <w:p w14:paraId="327FA9A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fontosabb elérhetőségek rendelkezésre állnak a honlapon (kontakt személyek, e-mail, telefon).</w:t>
      </w:r>
    </w:p>
    <w:p w14:paraId="669C7D1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C783DF1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hallgatók részvételi lehetőségei a nemzetközi tudományos életben</w:t>
      </w:r>
    </w:p>
    <w:p w14:paraId="4BED04D1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75EFF9C0" w14:textId="016AEF16" w:rsidR="005C2E45" w:rsidRPr="00912716" w:rsidRDefault="00AE7A0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hallgatók tájékozódhatnak lehetőségeikről a </w:t>
      </w:r>
      <w:r w:rsidR="0032148E" w:rsidRPr="00912716">
        <w:rPr>
          <w:rFonts w:ascii="Trebuchet MS" w:eastAsia="Trebuchet MS" w:hAnsi="Trebuchet MS" w:cs="Trebuchet MS"/>
          <w:color w:val="1F4E79" w:themeColor="accent1" w:themeShade="80"/>
        </w:rPr>
        <w:t>Doktori Iskola honlapján:</w:t>
      </w:r>
    </w:p>
    <w:p w14:paraId="31FA22B5" w14:textId="1B497EFD" w:rsidR="0032148E" w:rsidRPr="00912716" w:rsidRDefault="00A14BA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29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https://semmelweis.hu/mobilitas/hallgatoknak/</w:t>
        </w:r>
      </w:hyperlink>
    </w:p>
    <w:p w14:paraId="40481D99" w14:textId="77777777" w:rsidR="00A14BA5" w:rsidRPr="00912716" w:rsidRDefault="00A14BA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24D20A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3EA81B5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doktoranduszok lehetőségei tanulmányi és szociális nehézségek esetén</w:t>
      </w:r>
    </w:p>
    <w:p w14:paraId="09380B33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46125162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Általános hallgatói szolgáltatások</w:t>
      </w:r>
    </w:p>
    <w:p w14:paraId="47C8FCBC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28BB6FFA" w14:textId="7180ED4C" w:rsidR="00A14BA5" w:rsidRPr="00912716" w:rsidRDefault="00A14BA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hallgatói szolgáltatások honlap elérhetősége:</w:t>
      </w:r>
    </w:p>
    <w:p w14:paraId="2F40E817" w14:textId="2547DD90" w:rsidR="00A14BA5" w:rsidRPr="00912716" w:rsidRDefault="00A14BA5">
      <w:pPr>
        <w:jc w:val="both"/>
        <w:rPr>
          <w:rStyle w:val="Hiperhivatkozs"/>
          <w:rFonts w:eastAsia="Trebuchet MS"/>
          <w:color w:val="1F4E79" w:themeColor="accent1" w:themeShade="80"/>
        </w:rPr>
      </w:pPr>
      <w:hyperlink r:id="rId30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https://semmelweis.hu/phd/hallgatoknak/hallgatoi-szolgaltatasok/</w:t>
        </w:r>
      </w:hyperlink>
    </w:p>
    <w:p w14:paraId="5B2E21F1" w14:textId="77777777" w:rsidR="00A14BA5" w:rsidRPr="00912716" w:rsidRDefault="00A14BA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049493DD" w14:textId="3ACCBE21" w:rsidR="005C2E45" w:rsidRPr="00912716" w:rsidRDefault="00DA592E">
      <w:pPr>
        <w:jc w:val="both"/>
        <w:rPr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Doktori Hivatal folyamatosan rendelkezésre áll a hallgatói főbb adminisztratív ügyek segítésében. Az ügyfélfogadásról, fontosabb elérhetőségekről tájékozódni lehet: </w:t>
      </w:r>
      <w:hyperlink r:id="rId31"/>
      <w:r w:rsidR="00A14BA5" w:rsidRPr="00912716">
        <w:rPr>
          <w:color w:val="1F4E79" w:themeColor="accent1" w:themeShade="80"/>
        </w:rPr>
        <w:t xml:space="preserve"> </w:t>
      </w:r>
    </w:p>
    <w:p w14:paraId="68606A6A" w14:textId="13F2B6CC" w:rsidR="00A14BA5" w:rsidRPr="00912716" w:rsidRDefault="00E52EAF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32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https://semmelweis.hu/phd/rolunk/doktori-hivatal-es-gazdasagi-hivatal/</w:t>
        </w:r>
      </w:hyperlink>
    </w:p>
    <w:p w14:paraId="52F9376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DCFA4D7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doktoranduszok nyelvtanulásának segítésére a következő felületen kapnak tájékoztatást az érdeklődők:</w:t>
      </w:r>
    </w:p>
    <w:p w14:paraId="61F3A2F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33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https://semmelweis.hu/szaknyelv/oktatas/phd-hallgatoknak/</w:t>
        </w:r>
      </w:hyperlink>
    </w:p>
    <w:p w14:paraId="5ABF0BC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E32F64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kollégiumi elhelyezéssel kapcsolatos segítségről általános információ:</w:t>
      </w:r>
    </w:p>
    <w:p w14:paraId="341E0138" w14:textId="77777777" w:rsidR="005C2E45" w:rsidRPr="00912716" w:rsidRDefault="00DA592E">
      <w:pPr>
        <w:jc w:val="both"/>
        <w:rPr>
          <w:color w:val="1F4E79" w:themeColor="accent1" w:themeShade="80"/>
          <w:u w:val="single"/>
        </w:rPr>
      </w:pPr>
      <w:hyperlink r:id="rId34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https://semmelweis.hu/kollegiumok/kollegiumok/</w:t>
        </w:r>
      </w:hyperlink>
    </w:p>
    <w:p w14:paraId="7E21808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64BD9C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Kimondottan a Doktori képzésben résztvevőknek:</w:t>
      </w:r>
    </w:p>
    <w:p w14:paraId="06EED6D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  <w:u w:val="single"/>
        </w:rPr>
      </w:pPr>
      <w:hyperlink r:id="rId35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https://semmelweis.hu/selye/</w:t>
        </w:r>
      </w:hyperlink>
    </w:p>
    <w:p w14:paraId="13B5331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  <w:u w:val="single"/>
        </w:rPr>
      </w:pPr>
    </w:p>
    <w:p w14:paraId="29753D7D" w14:textId="77777777" w:rsidR="005C2E45" w:rsidRPr="00912716" w:rsidRDefault="00DA592E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lakhatási támogatást kollégiumi elhelyezéssel biztosít.</w:t>
      </w:r>
    </w:p>
    <w:p w14:paraId="11C4B93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302D79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Sportolási lehetőségek tekintetében innen tudnak információhoz jutni a hallgatók:</w:t>
      </w:r>
    </w:p>
    <w:p w14:paraId="5F157673" w14:textId="77777777" w:rsidR="005C2E45" w:rsidRPr="00912716" w:rsidRDefault="00DA592E">
      <w:pPr>
        <w:jc w:val="both"/>
        <w:rPr>
          <w:color w:val="1F4E79" w:themeColor="accent1" w:themeShade="80"/>
          <w:u w:val="single"/>
        </w:rPr>
      </w:pPr>
      <w:hyperlink r:id="rId36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https://semmelweis.hu/sportkozpont/</w:t>
        </w:r>
      </w:hyperlink>
    </w:p>
    <w:p w14:paraId="556DF544" w14:textId="77777777" w:rsidR="005C2E45" w:rsidRPr="00912716" w:rsidRDefault="005C2E45">
      <w:pPr>
        <w:jc w:val="both"/>
        <w:rPr>
          <w:color w:val="1F4E79" w:themeColor="accent1" w:themeShade="80"/>
          <w:u w:val="single"/>
        </w:rPr>
      </w:pPr>
    </w:p>
    <w:p w14:paraId="7667033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Diák-és életvezetési tanácsadás elérhető:</w:t>
      </w:r>
    </w:p>
    <w:p w14:paraId="68F39385" w14:textId="77777777" w:rsidR="005C2E45" w:rsidRPr="00912716" w:rsidRDefault="00DA592E">
      <w:pPr>
        <w:jc w:val="both"/>
        <w:rPr>
          <w:color w:val="1F4E79" w:themeColor="accent1" w:themeShade="80"/>
          <w:u w:val="single"/>
        </w:rPr>
      </w:pPr>
      <w:hyperlink r:id="rId37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https://semmelweis.hu/phd/hallgatoi-szolgaltatasok/diak-es-eletvezetesi-tanacsado-szolgalat/</w:t>
        </w:r>
      </w:hyperlink>
    </w:p>
    <w:p w14:paraId="636F523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0B226A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képzési struktúrával kapcsolatos kérdések, vagy a képzés során felmerülő szakmai problémák esetén a hallgatók a Kutatásmenedzsment Munkacsoportot kereshetik.</w:t>
      </w:r>
    </w:p>
    <w:p w14:paraId="0D82B01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9AB064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Kutatásmenedzsment Munkacsoport tervezi kutatásmódszertani és -menedzsment kurzusok indítását, illetve sikeres PhD témavezetők képzési tapasztalatainak megosztását a tanév második félévétől.</w:t>
      </w:r>
    </w:p>
    <w:p w14:paraId="611C9F0B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20E4D4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Emellett lassan haladó PhD képzés, kutatási téma elakadása esetén hallgató, témavezető vagy mindkettő egyéni tanácsadásra foglalhat időpontot, a probléma jellegének megadása mellett konzultálhatnak munkatársainkkal.</w:t>
      </w:r>
    </w:p>
    <w:p w14:paraId="19B66B7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38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https://semmelweis.hu/phd/hallgatoi-szolgaltatasok/kutatasmenedzsment-munkacsoport/</w:t>
        </w:r>
      </w:hyperlink>
    </w:p>
    <w:p w14:paraId="064483B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D7D45F8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proofErr w:type="spellStart"/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Coaching</w:t>
      </w:r>
      <w:proofErr w:type="spellEnd"/>
    </w:p>
    <w:p w14:paraId="19F1E9B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09F511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Doktori Iskola hallgatóinak lehetősége van ingyenes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coaching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-ban részt venni. A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coaching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szolgáltatást a Doktori Iskola Kutatásmenedzsment Munkacsoportja biztosítja, a rendelkezésre álló kapacitás erejéig.</w:t>
      </w:r>
    </w:p>
    <w:p w14:paraId="2AF7C49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  <w:u w:val="single"/>
        </w:rPr>
      </w:pPr>
      <w:hyperlink r:id="rId39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https://semmelweis.hu/phd/hallgatoi-szolgaltatasok/coaching/</w:t>
        </w:r>
      </w:hyperlink>
    </w:p>
    <w:p w14:paraId="7E3E974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  <w:u w:val="single"/>
        </w:rPr>
      </w:pPr>
    </w:p>
    <w:p w14:paraId="423E22E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4CE0D66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hallgatók szociális helyzetének segítése</w:t>
      </w:r>
    </w:p>
    <w:p w14:paraId="4FE4EA3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7C3E681" w14:textId="5938C710" w:rsidR="005C2E45" w:rsidRPr="00912716" w:rsidRDefault="00DA592E" w:rsidP="00B72728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Szabályzat</w:t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 </w:t>
      </w:r>
      <w:r w:rsidR="00C536FD" w:rsidRPr="00912716">
        <w:rPr>
          <w:rFonts w:ascii="Trebuchet MS" w:eastAsia="Trebuchet MS" w:hAnsi="Trebuchet MS" w:cs="Trebuchet MS"/>
          <w:b/>
          <w:color w:val="1F4E79" w:themeColor="accent1" w:themeShade="80"/>
        </w:rPr>
        <w:t>tartalmazza a Hallgatók szociális helyzetének javításával kapcsolatos lehetőségeket.</w:t>
      </w:r>
    </w:p>
    <w:p w14:paraId="216EBAE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8C8FE04" w14:textId="5AC9BCFD" w:rsidR="005C2E45" w:rsidRPr="00912716" w:rsidRDefault="00B04ABB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Pályázati lehetőségek:</w:t>
      </w:r>
    </w:p>
    <w:p w14:paraId="053B0235" w14:textId="247EB401" w:rsidR="00B04ABB" w:rsidRPr="00912716" w:rsidRDefault="00B04ABB">
      <w:pPr>
        <w:rPr>
          <w:rFonts w:ascii="Trebuchet MS" w:eastAsia="Trebuchet MS" w:hAnsi="Trebuchet MS" w:cs="Trebuchet MS"/>
          <w:color w:val="1F4E79" w:themeColor="accent1" w:themeShade="80"/>
        </w:rPr>
      </w:pPr>
      <w:hyperlink r:id="rId40" w:history="1">
        <w:r w:rsidRPr="00912716">
          <w:rPr>
            <w:rStyle w:val="Hiperhivatkozs"/>
            <w:rFonts w:ascii="Trebuchet MS" w:eastAsia="Trebuchet MS" w:hAnsi="Trebuchet MS" w:cs="Trebuchet MS"/>
            <w:color w:val="1F4E79" w:themeColor="accent1" w:themeShade="80"/>
          </w:rPr>
          <w:t>https://semmelweis.hu/phd/hallgatoknak/palyazatok-osztondijak/</w:t>
        </w:r>
      </w:hyperlink>
    </w:p>
    <w:p w14:paraId="70488B89" w14:textId="77777777" w:rsidR="00B04ABB" w:rsidRPr="00912716" w:rsidRDefault="00B04ABB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01C5C67C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B5C2D29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8" w:name="_Toc218248719"/>
      <w:r w:rsidRPr="00912716">
        <w:rPr>
          <w:color w:val="1F4E79" w:themeColor="accent1" w:themeShade="80"/>
        </w:rPr>
        <w:lastRenderedPageBreak/>
        <w:t>ESG 1.7 Információkezelés</w:t>
      </w:r>
      <w:bookmarkEnd w:id="8"/>
    </w:p>
    <w:p w14:paraId="3A3D3485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5914ACC1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09344B2C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gyűjtsenek, elemezzenek és használjanak releváns információkat képzési programjaik és egyéb tevékenységeik irányítására.</w:t>
      </w:r>
    </w:p>
    <w:p w14:paraId="36348F6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96E5A0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az információkezelés fejezetben foglaltak szerint a legfontosabb képzéssel kapcsolatos adatokat gyűjti, elemzi, és az értékelési folyamatban, valamint fejlesztésekben felhasználja azokat.</w:t>
      </w:r>
    </w:p>
    <w:p w14:paraId="397FAE4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24ECD49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alábbi információk számottevők:</w:t>
      </w:r>
    </w:p>
    <w:p w14:paraId="54265963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Alapvető teljesítménymutatók;</w:t>
      </w:r>
    </w:p>
    <w:p w14:paraId="5E400C25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összetétele;</w:t>
      </w:r>
    </w:p>
    <w:p w14:paraId="5A1ED7D5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előrehaladása, eredményességi és lemorzsolódási rátáik;</w:t>
      </w:r>
    </w:p>
    <w:p w14:paraId="6C4AF1E6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képzési programjaikkal kapcsolatos elégedettsége;</w:t>
      </w:r>
    </w:p>
    <w:p w14:paraId="122EF77F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rendelkezésre álló tanulási háttértámogatás és a hallgatói tanácsadás; </w:t>
      </w:r>
    </w:p>
    <w:p w14:paraId="2ED98F31" w14:textId="77777777" w:rsidR="005C2E45" w:rsidRPr="00912716" w:rsidRDefault="00DA592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végzettek karrierútja/életpályája.</w:t>
      </w:r>
    </w:p>
    <w:p w14:paraId="6B570C4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29C2F0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céljait, stratégiai irányait, minőségcéljait, emellett a Doktori Iskola saját céljait is figyelembe veszi, a teljesítménymutatók meghatározásánál szem előtt tarja ezeket. Az éves beszámolóban az ezzel kapcsolatos adatokat gyűjtik, vizsgálják, értékelik azok trendjeit is.</w:t>
      </w:r>
    </w:p>
    <w:p w14:paraId="3CC5EE7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05A6F4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Minden tanévben vizsgálja a jelentkezők számát, a felvettek arányát, azok összetételét, a lemorzsolódási rátát, a komplex vizsgát tett hallgatók számát, a fokozatszerzők számát, a hallgatók által elnyert pályázatokat, a disszertációkhoz kapcsolódó közlemények számát, azok kiválóságát. A hallgatói visszajelzéseket a Doktori Iskola értékeli, és beépíti azok eredményeit a fejlesztéseibe. Az oktatást, tanulást támogató körülményeket vizsgálják, évente értékelik. A hallgatói tanácsadásokról beszámolót készítenek és az éves jelentésben összefoglalót tesznek közzé. </w:t>
      </w:r>
    </w:p>
    <w:p w14:paraId="786ACC2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a végzettek karrierútját, életpályáját az Alumni Igazgatósággal együttműködve követi.</w:t>
      </w:r>
    </w:p>
    <w:p w14:paraId="3427EA10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az Alumni tevékenységével kapcsolatos információkat, feladatokat a következő felületen mutatja be:</w:t>
      </w:r>
    </w:p>
    <w:p w14:paraId="7A4B2A4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41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https://semmelweis.hu/alumni/</w:t>
        </w:r>
      </w:hyperlink>
    </w:p>
    <w:p w14:paraId="30A19DB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color w:val="1F4E79" w:themeColor="accent1" w:themeShade="80"/>
        </w:rPr>
        <w:br w:type="page"/>
      </w:r>
    </w:p>
    <w:p w14:paraId="432B5642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9" w:name="_Toc218248720"/>
      <w:r w:rsidRPr="00912716">
        <w:rPr>
          <w:color w:val="1F4E79" w:themeColor="accent1" w:themeShade="80"/>
        </w:rPr>
        <w:lastRenderedPageBreak/>
        <w:t>ESG 1.8 Nyilvános információk</w:t>
      </w:r>
      <w:bookmarkEnd w:id="9"/>
    </w:p>
    <w:p w14:paraId="7098FC56" w14:textId="77777777" w:rsidR="005C2E45" w:rsidRPr="00912716" w:rsidRDefault="005C2E45">
      <w:pPr>
        <w:rPr>
          <w:color w:val="1F4E79" w:themeColor="accent1" w:themeShade="80"/>
        </w:rPr>
      </w:pPr>
    </w:p>
    <w:p w14:paraId="381571B1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29B77648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tegyenek közzé világos, pontos, objektív, naprakész és könnyen hozzáférhető információkat tevékenységükről, benne képzési programjaikról.</w:t>
      </w:r>
    </w:p>
    <w:p w14:paraId="7E417FF8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31D748CD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2B10B61E" w14:textId="08EB62BD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Semmelweis Egyetem a Doktori Iskolának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-honlapot tart fent:</w:t>
      </w:r>
    </w:p>
    <w:p w14:paraId="3B2767FA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42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https://semmelweis.hu/phd/</w:t>
        </w:r>
      </w:hyperlink>
    </w:p>
    <w:p w14:paraId="71CCBBCE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64DD3C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Ezen az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-honlapon minden olyan fontosabb információ</w:t>
      </w:r>
      <w:r w:rsidR="00CD2C37"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megjelenik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, ami az érdeklődőknek, hallgatóknak, végzetteknek, saját dolgozóinak, oktatóinak, valamint egyéb érdekelt feleinek fontos lehet.</w:t>
      </w:r>
    </w:p>
    <w:p w14:paraId="02C37D5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0AC8E4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Ezen a felületen többek között olyan naprakész információkat jelenít meg, mint:</w:t>
      </w:r>
    </w:p>
    <w:p w14:paraId="16DC316A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Általános ismertető,</w:t>
      </w:r>
    </w:p>
    <w:p w14:paraId="18606948" w14:textId="77777777" w:rsidR="00CD2C37" w:rsidRPr="00912716" w:rsidRDefault="00CD2C37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Tagozatokról ismertető,</w:t>
      </w:r>
    </w:p>
    <w:p w14:paraId="45B3A45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Programokról tájékoztatás,</w:t>
      </w:r>
    </w:p>
    <w:p w14:paraId="17B50F8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Oktatók, témakiírók, témavezetők személye,</w:t>
      </w:r>
    </w:p>
    <w:p w14:paraId="18225B8F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Törzstagok, törzstag emeritusok személye,</w:t>
      </w:r>
    </w:p>
    <w:p w14:paraId="791F2D6D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Együttműködési megállapodások,</w:t>
      </w:r>
    </w:p>
    <w:p w14:paraId="3C1E9C7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Képzéssel és vizsgákkal kapcsolatos tájékoztatók,</w:t>
      </w:r>
    </w:p>
    <w:p w14:paraId="7D647FFA" w14:textId="77777777" w:rsidR="005C2E45" w:rsidRPr="00912716" w:rsidRDefault="00F7607D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Hírek, egyéb tájékoztatók,</w:t>
      </w:r>
    </w:p>
    <w:p w14:paraId="138E8D5D" w14:textId="77777777" w:rsidR="00F7607D" w:rsidRPr="00912716" w:rsidRDefault="00F7607D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Alkalmazandó szabályok, formanyomtatványok,</w:t>
      </w:r>
    </w:p>
    <w:p w14:paraId="5ED1DFD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- Éves beszámolók</w:t>
      </w:r>
      <w:r w:rsidR="00F7607D" w:rsidRPr="00912716">
        <w:rPr>
          <w:rFonts w:ascii="Trebuchet MS" w:eastAsia="Trebuchet MS" w:hAnsi="Trebuchet MS" w:cs="Trebuchet MS"/>
          <w:color w:val="1F4E79" w:themeColor="accent1" w:themeShade="80"/>
        </w:rPr>
        <w:t>, határozatok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>.</w:t>
      </w:r>
    </w:p>
    <w:p w14:paraId="3485C1CE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color w:val="1F4E79" w:themeColor="accent1" w:themeShade="80"/>
        </w:rPr>
        <w:br w:type="page"/>
      </w:r>
    </w:p>
    <w:p w14:paraId="0A68CF3C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10" w:name="_Toc218248721"/>
      <w:r w:rsidRPr="00912716">
        <w:rPr>
          <w:color w:val="1F4E79" w:themeColor="accent1" w:themeShade="80"/>
        </w:rPr>
        <w:lastRenderedPageBreak/>
        <w:t>ESG 1.9 A képzési programok folyamatos figyelemmel kísérése és rendszeres értékelése</w:t>
      </w:r>
      <w:bookmarkEnd w:id="10"/>
    </w:p>
    <w:p w14:paraId="71E2EAA4" w14:textId="77777777" w:rsidR="005C2E45" w:rsidRPr="00912716" w:rsidRDefault="005C2E45">
      <w:pPr>
        <w:rPr>
          <w:color w:val="1F4E79" w:themeColor="accent1" w:themeShade="80"/>
        </w:rPr>
      </w:pPr>
    </w:p>
    <w:p w14:paraId="2950781C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0F1C9E9F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 folyamatosan kísérjék figyelemmel és rendszeres időközönként tekintsék át képzési programjaikat, biztosítandó, hogy azok elérjék kitűzött céljaikat, illetve megfeleljenek a hallgatók és a társadalom igényeinek. Ezen értékelések eredményezzék a programok folyamatos javulását. Az ennek folytán tervezett vagy megtett intézkedéseket minden érdekelt felé közölni kell.</w:t>
      </w:r>
    </w:p>
    <w:p w14:paraId="57FDE21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1D6C21A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Doktori Iskola a képzési programját rendszeresen felülvizsgálja, de legalább évente egyszer az éves beszámolási időszakban.</w:t>
      </w:r>
    </w:p>
    <w:p w14:paraId="66E1390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956D794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képzési programmal kapcsolatban a következő szempontokat értékeli:</w:t>
      </w:r>
    </w:p>
    <w:p w14:paraId="43992E8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69A716A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program tartalma az adott tudományágra vonatkozó legújabb kutatások fényében, biztosítva a program naprakészségét;</w:t>
      </w:r>
    </w:p>
    <w:p w14:paraId="4DFDEC30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társadalmi igények változása;</w:t>
      </w:r>
    </w:p>
    <w:p w14:paraId="215AD0DF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hallgatók munkaterhelése, előrehaladása és végzése; </w:t>
      </w:r>
    </w:p>
    <w:p w14:paraId="340BAFEA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hallgatókat értékelő eljárások hatékonysága;</w:t>
      </w:r>
    </w:p>
    <w:p w14:paraId="3F6860A0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hallgatók elvárásai, igényei és elégedettsége a programmal kapcsolatban;</w:t>
      </w:r>
    </w:p>
    <w:p w14:paraId="224FB1F1" w14:textId="77777777" w:rsidR="005C2E45" w:rsidRPr="00912716" w:rsidRDefault="00DA59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tanulási környezet és a támogató szolgáltatások, valamint ezek megfelelése a program céljait tekintve.</w:t>
      </w:r>
    </w:p>
    <w:p w14:paraId="666A3FE4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programokat rendszeresen felülvizsgálja és szükség esetén módosítja a hallgatók és más érintettek bevonásával. Az összegyűjtött információkat elemzi, majd a programot módosítja, hogy naprakész legyen. A módosított programleírásokat nyilvánosságra hozza a doktori képzés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-honlapján.</w:t>
      </w:r>
    </w:p>
    <w:p w14:paraId="152209C3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040DF3A" w14:textId="77777777" w:rsidR="00717509" w:rsidRDefault="00717509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0EF0FFDF" w14:textId="77777777" w:rsidR="00717509" w:rsidRDefault="00717509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717509">
        <w:rPr>
          <w:rFonts w:ascii="Trebuchet MS" w:eastAsia="Trebuchet MS" w:hAnsi="Trebuchet MS" w:cs="Trebuchet MS"/>
          <w:b/>
          <w:bCs/>
          <w:color w:val="1F4E79" w:themeColor="accent1" w:themeShade="80"/>
        </w:rPr>
        <w:t>Kockázatalapú gondolkodás</w:t>
      </w:r>
    </w:p>
    <w:p w14:paraId="3E2E2ECB" w14:textId="77777777" w:rsidR="00717509" w:rsidRDefault="00717509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5CAA3DE8" w14:textId="77777777" w:rsidR="00D9099A" w:rsidRDefault="002933C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2933CA">
        <w:rPr>
          <w:rFonts w:ascii="Trebuchet MS" w:eastAsia="Trebuchet MS" w:hAnsi="Trebuchet MS" w:cs="Trebuchet MS"/>
          <w:color w:val="1F4E79" w:themeColor="accent1" w:themeShade="80"/>
        </w:rPr>
        <w:t>A doktori képzés kockázatalapú működése nem új követelmények bevezetését jelenti, hanem a Doktori Szabályzatban rögzített folyamatok tudatos figyelemmel kísérését, az ESG elveinek megfelelően. A működési keretrendszer a kockázatok korai azonosítását, a megelőző szemléletet és a folyamatos fejlesztést támogatja PDCA-logika mentén.</w:t>
      </w:r>
    </w:p>
    <w:p w14:paraId="01930CC9" w14:textId="77777777" w:rsidR="00D9099A" w:rsidRDefault="00D9099A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15E213D" w14:textId="77777777" w:rsidR="00D9099A" w:rsidRDefault="00D9099A" w:rsidP="00D9099A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  <w:r w:rsidRPr="00CA1C87">
        <w:rPr>
          <w:rFonts w:ascii="Trebuchet MS" w:eastAsia="Trebuchet MS" w:hAnsi="Trebuchet MS" w:cs="Trebuchet MS"/>
          <w:b/>
          <w:bCs/>
          <w:color w:val="1F4E79" w:themeColor="accent1" w:themeShade="80"/>
        </w:rPr>
        <w:t>Éves Beszámolási szempontok</w:t>
      </w:r>
    </w:p>
    <w:p w14:paraId="132DC6B4" w14:textId="77777777" w:rsidR="00D9099A" w:rsidRDefault="00D9099A" w:rsidP="00D9099A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5E2CA670" w14:textId="77777777" w:rsidR="00D9099A" w:rsidRDefault="00D9099A" w:rsidP="00D9099A">
      <w:pPr>
        <w:spacing w:after="160" w:line="259" w:lineRule="auto"/>
        <w:rPr>
          <w:rFonts w:ascii="Trebuchet MS" w:eastAsia="Trebuchet MS" w:hAnsi="Trebuchet MS" w:cs="Trebuchet MS"/>
          <w:color w:val="1F4E79" w:themeColor="accent1" w:themeShade="80"/>
        </w:rPr>
      </w:pPr>
      <w:r>
        <w:rPr>
          <w:rFonts w:ascii="Trebuchet MS" w:eastAsia="Trebuchet MS" w:hAnsi="Trebuchet MS" w:cs="Trebuchet MS"/>
          <w:color w:val="1F4E79" w:themeColor="accent1" w:themeShade="80"/>
        </w:rPr>
        <w:t>Az éves beszámolási rendszer kétszintű:</w:t>
      </w:r>
    </w:p>
    <w:p w14:paraId="71FA0D55" w14:textId="77777777" w:rsidR="00D9099A" w:rsidRPr="00C50CE0" w:rsidRDefault="00D9099A" w:rsidP="00D9099A">
      <w:pPr>
        <w:spacing w:after="160" w:line="259" w:lineRule="auto"/>
        <w:rPr>
          <w:rFonts w:ascii="Trebuchet MS" w:eastAsia="Trebuchet MS" w:hAnsi="Trebuchet MS" w:cs="Trebuchet MS"/>
          <w:color w:val="1F4E79" w:themeColor="accent1" w:themeShade="80"/>
        </w:rPr>
      </w:pPr>
      <w:r w:rsidRPr="00C50CE0">
        <w:rPr>
          <w:rFonts w:ascii="Trebuchet MS" w:eastAsia="Trebuchet MS" w:hAnsi="Trebuchet MS" w:cs="Trebuchet MS"/>
          <w:color w:val="1F4E79" w:themeColor="accent1" w:themeShade="80"/>
        </w:rPr>
        <w:t>Doktori Iskola és Tagozatok</w:t>
      </w:r>
      <w:r>
        <w:rPr>
          <w:rFonts w:ascii="Trebuchet MS" w:eastAsia="Trebuchet MS" w:hAnsi="Trebuchet MS" w:cs="Trebuchet MS"/>
          <w:color w:val="1F4E79" w:themeColor="accent1" w:themeShade="80"/>
        </w:rPr>
        <w:t xml:space="preserve"> szintjén jelenik meg, mely figyelembe veszik az</w:t>
      </w:r>
      <w:r w:rsidRPr="00C50CE0">
        <w:rPr>
          <w:rFonts w:ascii="Trebuchet MS" w:eastAsia="Trebuchet MS" w:hAnsi="Trebuchet MS" w:cs="Trebuchet MS"/>
          <w:color w:val="1F4E79" w:themeColor="accent1" w:themeShade="80"/>
        </w:rPr>
        <w:t xml:space="preserve"> ESG</w:t>
      </w:r>
      <w:r>
        <w:rPr>
          <w:rFonts w:ascii="Trebuchet MS" w:eastAsia="Trebuchet MS" w:hAnsi="Trebuchet MS" w:cs="Trebuchet MS"/>
          <w:color w:val="1F4E79" w:themeColor="accent1" w:themeShade="80"/>
        </w:rPr>
        <w:t xml:space="preserve">, </w:t>
      </w:r>
      <w:r w:rsidRPr="00C50CE0">
        <w:rPr>
          <w:rFonts w:ascii="Trebuchet MS" w:eastAsia="Trebuchet MS" w:hAnsi="Trebuchet MS" w:cs="Trebuchet MS"/>
          <w:color w:val="1F4E79" w:themeColor="accent1" w:themeShade="80"/>
        </w:rPr>
        <w:t>IFT-alapú</w:t>
      </w:r>
      <w:r>
        <w:rPr>
          <w:rFonts w:ascii="Trebuchet MS" w:eastAsia="Trebuchet MS" w:hAnsi="Trebuchet MS" w:cs="Trebuchet MS"/>
          <w:color w:val="1F4E79" w:themeColor="accent1" w:themeShade="80"/>
        </w:rPr>
        <w:t xml:space="preserve"> szempontokat.</w:t>
      </w:r>
    </w:p>
    <w:p w14:paraId="20DE7AF4" w14:textId="77777777" w:rsidR="00D9099A" w:rsidRPr="00CA1C87" w:rsidRDefault="00D9099A" w:rsidP="00D9099A">
      <w:pPr>
        <w:jc w:val="both"/>
        <w:rPr>
          <w:rFonts w:ascii="Trebuchet MS" w:eastAsia="Trebuchet MS" w:hAnsi="Trebuchet MS" w:cs="Trebuchet MS"/>
          <w:b/>
          <w:bCs/>
          <w:color w:val="1F4E79" w:themeColor="accent1" w:themeShade="80"/>
        </w:rPr>
      </w:pPr>
    </w:p>
    <w:p w14:paraId="55DD41F3" w14:textId="0A15CE2B" w:rsidR="005C2E45" w:rsidRPr="002933CA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2933CA">
        <w:rPr>
          <w:rFonts w:ascii="Trebuchet MS" w:eastAsia="Trebuchet MS" w:hAnsi="Trebuchet MS" w:cs="Trebuchet MS"/>
          <w:color w:val="1F4E79" w:themeColor="accent1" w:themeShade="80"/>
        </w:rPr>
        <w:br w:type="page"/>
      </w:r>
    </w:p>
    <w:p w14:paraId="2437E564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11" w:name="_Toc218248722"/>
      <w:r w:rsidRPr="00912716">
        <w:rPr>
          <w:color w:val="1F4E79" w:themeColor="accent1" w:themeShade="80"/>
        </w:rPr>
        <w:lastRenderedPageBreak/>
        <w:t>ESG 1.10 Rendszeres külső minőségbiztosítás</w:t>
      </w:r>
      <w:bookmarkEnd w:id="11"/>
    </w:p>
    <w:p w14:paraId="0F67E634" w14:textId="77777777" w:rsidR="005C2E45" w:rsidRPr="00912716" w:rsidRDefault="005C2E45">
      <w:pPr>
        <w:rPr>
          <w:color w:val="1F4E79" w:themeColor="accent1" w:themeShade="80"/>
        </w:rPr>
      </w:pPr>
    </w:p>
    <w:p w14:paraId="1FF70733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Standard: </w:t>
      </w:r>
    </w:p>
    <w:p w14:paraId="62DBECBE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intézményeket rendszeres időközönként külső minőségbiztosítás alá kell vetni az ESG szerint.</w:t>
      </w:r>
    </w:p>
    <w:p w14:paraId="2A161E39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D924B7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Semmelweis Egyetemen az Integrált Irányítási rendszer keretében, 2008 óta folyamatosan külső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felügyelet alatt áll az oktatási, kutatási és betegellátási folyamat.</w:t>
      </w:r>
    </w:p>
    <w:p w14:paraId="60652CF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47B677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Egyetem hármas fő funkciójának megfelelően az oktatás, kutatás és betegellátás keretében a vonatkozó jogszabályok, irányelvek, szakmai elvárások </w:t>
      </w:r>
      <w:proofErr w:type="gramStart"/>
      <w:r w:rsidRPr="00912716">
        <w:rPr>
          <w:rFonts w:ascii="Trebuchet MS" w:eastAsia="Trebuchet MS" w:hAnsi="Trebuchet MS" w:cs="Trebuchet MS"/>
          <w:color w:val="1F4E79" w:themeColor="accent1" w:themeShade="80"/>
        </w:rPr>
        <w:t>figyelembe vétele</w:t>
      </w:r>
      <w:proofErr w:type="gram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és betartása mellett a következő szabványok, standardok irányadók:</w:t>
      </w:r>
    </w:p>
    <w:p w14:paraId="2D3DD2C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7CB976C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Felsőoktatás területén:</w:t>
      </w:r>
    </w:p>
    <w:p w14:paraId="187CEB7E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ESG standardok, </w:t>
      </w:r>
    </w:p>
    <w:p w14:paraId="0B6311C6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MAB akkreditációs elvárások,</w:t>
      </w:r>
    </w:p>
    <w:p w14:paraId="72AD99F7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World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Federation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for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Medical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Education (WFME),</w:t>
      </w:r>
    </w:p>
    <w:p w14:paraId="08F88C0C" w14:textId="77777777" w:rsidR="005C2E45" w:rsidRPr="00912716" w:rsidRDefault="005C2E45">
      <w:pPr>
        <w:rPr>
          <w:rFonts w:ascii="Trebuchet MS" w:eastAsia="Trebuchet MS" w:hAnsi="Trebuchet MS" w:cs="Trebuchet MS"/>
          <w:color w:val="1F4E79" w:themeColor="accent1" w:themeShade="80"/>
        </w:rPr>
      </w:pPr>
    </w:p>
    <w:p w14:paraId="422170D1" w14:textId="77777777" w:rsidR="005C2E45" w:rsidRPr="00912716" w:rsidRDefault="00DA592E">
      <w:pPr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Kutatási területen:</w:t>
      </w:r>
    </w:p>
    <w:p w14:paraId="17F1CE35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Good Research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Practice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(GRP),</w:t>
      </w:r>
    </w:p>
    <w:p w14:paraId="32807749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Good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Clinical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Practice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(GCP),</w:t>
      </w:r>
    </w:p>
    <w:p w14:paraId="056CEF8F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Good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Laboratory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Practice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(GLP),</w:t>
      </w:r>
    </w:p>
    <w:p w14:paraId="3F2EF1BA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Egyéb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GxP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, amennyiben az adott kutatásban értelmezhető.</w:t>
      </w:r>
    </w:p>
    <w:p w14:paraId="06FC4FEE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8930B6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Betegellátásban:</w:t>
      </w:r>
    </w:p>
    <w:p w14:paraId="5C28E26E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Magyar Egészségügyi Ellátási Standardok (MEES 2.0),</w:t>
      </w:r>
    </w:p>
    <w:p w14:paraId="27836D67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BELLA standardok.</w:t>
      </w:r>
    </w:p>
    <w:p w14:paraId="7808E14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7B77155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fő tevékenységek kiegészítéseként, hogy az egyetemi működés teljes egységes egészet alkosson, irányítási keretrendszereket is alkalmaz a Semmelweis Egyetem.</w:t>
      </w:r>
    </w:p>
    <w:p w14:paraId="23838C31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8A6042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következő szabványok alapján működünk:</w:t>
      </w:r>
    </w:p>
    <w:p w14:paraId="63F90EAC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MSZ EN ISO 9001:2015,</w:t>
      </w:r>
    </w:p>
    <w:p w14:paraId="64B4CE86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MSZ EN ISO 50001:2019,</w:t>
      </w:r>
    </w:p>
    <w:p w14:paraId="0763D60E" w14:textId="77777777" w:rsidR="005C2E45" w:rsidRPr="00912716" w:rsidRDefault="00DA592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MSZ EN ISO 14001:2015,</w:t>
      </w:r>
    </w:p>
    <w:p w14:paraId="1C1795BA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FD7D4B7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 aktuális külső tanúsítási folyamatának eredményeiről, az érvényes tanúsítványokról a következő nyilvános internetes oldalról lehet tájékozódni:</w:t>
      </w:r>
    </w:p>
    <w:p w14:paraId="260849A6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43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https://semmelweis.hu/az-egyetemrol/semmelweis-egyetem-minosegiranyitasi-rendszer/</w:t>
        </w:r>
      </w:hyperlink>
    </w:p>
    <w:p w14:paraId="26FE1EA0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DE9B83D" w14:textId="6AC2F546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 intézményakkreditációját, a Doktori Iskol</w:t>
      </w:r>
      <w:r w:rsidR="00E20F39" w:rsidRPr="00912716">
        <w:rPr>
          <w:rFonts w:ascii="Trebuchet MS" w:eastAsia="Trebuchet MS" w:hAnsi="Trebuchet MS" w:cs="Trebuchet MS"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akkreditációs eredményességét a Magyar Felsőoktatási Akkreditációs Bizottság (MAB)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-honlapján lehet megtekinteni, az akkreditáció eredményét ellenőrizni:</w:t>
      </w:r>
    </w:p>
    <w:p w14:paraId="0A4DED61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44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https://www.mab.hu/</w:t>
        </w:r>
      </w:hyperlink>
    </w:p>
    <w:p w14:paraId="6A986765" w14:textId="77777777" w:rsidR="005C2E45" w:rsidRPr="00912716" w:rsidRDefault="00DA592E">
      <w:pPr>
        <w:pStyle w:val="Cm"/>
        <w:jc w:val="center"/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</w:pPr>
      <w:r w:rsidRPr="00912716">
        <w:rPr>
          <w:color w:val="1F4E79" w:themeColor="accent1" w:themeShade="80"/>
        </w:rPr>
        <w:br w:type="page"/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  <w:lastRenderedPageBreak/>
        <w:t xml:space="preserve">2. rész: A külső </w:t>
      </w:r>
      <w:proofErr w:type="spellStart"/>
      <w:r w:rsidRPr="00912716"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b/>
          <w:color w:val="1F4E79" w:themeColor="accent1" w:themeShade="80"/>
          <w:sz w:val="32"/>
          <w:szCs w:val="32"/>
        </w:rPr>
        <w:t xml:space="preserve"> tevékenység standardjai</w:t>
      </w:r>
    </w:p>
    <w:p w14:paraId="73C380A1" w14:textId="77777777" w:rsidR="005C2E45" w:rsidRPr="00912716" w:rsidRDefault="005C2E45">
      <w:pPr>
        <w:rPr>
          <w:color w:val="1F4E79" w:themeColor="accent1" w:themeShade="80"/>
        </w:rPr>
      </w:pPr>
    </w:p>
    <w:p w14:paraId="2E2A92C1" w14:textId="77777777" w:rsidR="005C2E45" w:rsidRPr="00912716" w:rsidRDefault="00DA592E">
      <w:pPr>
        <w:pStyle w:val="Cmsor1"/>
        <w:rPr>
          <w:color w:val="1F4E79" w:themeColor="accent1" w:themeShade="80"/>
        </w:rPr>
      </w:pPr>
      <w:bookmarkStart w:id="12" w:name="_Toc218248723"/>
      <w:r w:rsidRPr="00912716">
        <w:rPr>
          <w:color w:val="1F4E79" w:themeColor="accent1" w:themeShade="80"/>
        </w:rPr>
        <w:t>ESG 2.1 A belső minőségbiztosítás figyelembevétele</w:t>
      </w:r>
      <w:bookmarkEnd w:id="12"/>
    </w:p>
    <w:p w14:paraId="324CD01A" w14:textId="77777777" w:rsidR="005C2E45" w:rsidRPr="00912716" w:rsidRDefault="005C2E45">
      <w:pPr>
        <w:rPr>
          <w:color w:val="1F4E79" w:themeColor="accent1" w:themeShade="80"/>
        </w:rPr>
      </w:pPr>
    </w:p>
    <w:p w14:paraId="47D8550E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Standard:</w:t>
      </w:r>
    </w:p>
    <w:p w14:paraId="5143CB3C" w14:textId="77777777" w:rsidR="005C2E45" w:rsidRPr="00912716" w:rsidRDefault="00DA592E">
      <w:pPr>
        <w:pBdr>
          <w:top w:val="single" w:sz="4" w:space="1" w:color="1F4E79"/>
          <w:left w:val="single" w:sz="4" w:space="4" w:color="1F4E79"/>
          <w:bottom w:val="single" w:sz="4" w:space="1" w:color="1F4E79"/>
          <w:right w:val="single" w:sz="4" w:space="4" w:color="1F4E79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külső minőségbiztosítás vegye figyelembe a belső minőségbiztosítás hatásosságát az ESG 1. részében leírtak szerint.</w:t>
      </w:r>
    </w:p>
    <w:p w14:paraId="30D88BC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E76EFA3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Belső Minőségbiztosítási Rendszerének kialakítása figyelembe veszi a mindenkori rá vonatkozó jogszabályi egyéb külső elvárásokat, amik befolyásolhatják a jogszerű, szakszerű működését.</w:t>
      </w:r>
    </w:p>
    <w:p w14:paraId="33D42FB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E371761" w14:textId="77777777" w:rsidR="005C2E45" w:rsidRPr="00912716" w:rsidRDefault="005C2E45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5288E244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A Semmelweis Egyetem Belső </w:t>
      </w:r>
      <w:proofErr w:type="spellStart"/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 rendszere a következő keretek között valósul meg:</w:t>
      </w:r>
    </w:p>
    <w:p w14:paraId="685D389F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B52178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noProof/>
          <w:color w:val="1F4E79" w:themeColor="accent1" w:themeShade="80"/>
        </w:rPr>
        <mc:AlternateContent>
          <mc:Choice Requires="wpg">
            <w:drawing>
              <wp:inline distT="0" distB="0" distL="0" distR="0" wp14:anchorId="14981462" wp14:editId="2952A1AF">
                <wp:extent cx="5873518" cy="3744368"/>
                <wp:effectExtent l="0" t="0" r="0" b="0"/>
                <wp:docPr id="8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518" cy="3744368"/>
                          <a:chOff x="0" y="0"/>
                          <a:chExt cx="5873500" cy="3750725"/>
                        </a:xfrm>
                      </wpg:grpSpPr>
                      <wpg:grpSp>
                        <wpg:cNvPr id="1" name="Csoportba foglalás 1"/>
                        <wpg:cNvGrpSpPr/>
                        <wpg:grpSpPr>
                          <a:xfrm>
                            <a:off x="0" y="0"/>
                            <a:ext cx="5873500" cy="3744367"/>
                            <a:chOff x="0" y="0"/>
                            <a:chExt cx="5873500" cy="3744367"/>
                          </a:xfrm>
                        </wpg:grpSpPr>
                        <wps:wsp>
                          <wps:cNvPr id="2" name="Téglalap 2"/>
                          <wps:cNvSpPr/>
                          <wps:spPr>
                            <a:xfrm>
                              <a:off x="0" y="0"/>
                              <a:ext cx="5873500" cy="374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43DB31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zabadkézi sokszög 3"/>
                          <wps:cNvSpPr/>
                          <wps:spPr>
                            <a:xfrm>
                              <a:off x="2936759" y="975095"/>
                              <a:ext cx="126118" cy="11292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zabadkézi sokszög 4"/>
                          <wps:cNvSpPr/>
                          <wps:spPr>
                            <a:xfrm>
                              <a:off x="2755157" y="975095"/>
                              <a:ext cx="181601" cy="6268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zabadkézi sokszög 5"/>
                          <wps:cNvSpPr/>
                          <wps:spPr>
                            <a:xfrm>
                              <a:off x="2891039" y="975095"/>
                              <a:ext cx="91440" cy="17941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Téglalap 6"/>
                          <wps:cNvSpPr/>
                          <wps:spPr>
                            <a:xfrm>
                              <a:off x="1961663" y="0"/>
                              <a:ext cx="1950191" cy="975095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49EA29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zövegdoboz 7"/>
                          <wps:cNvSpPr txBox="1"/>
                          <wps:spPr>
                            <a:xfrm>
                              <a:off x="1961663" y="0"/>
                              <a:ext cx="1950191" cy="97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5372D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</w:rPr>
                                  <w:t>Minőségfejlesztési Tanács (MT)</w:t>
                                </w:r>
                              </w:p>
                            </w:txbxContent>
                          </wps:txbx>
                          <wps:bodyPr spcFirstLastPara="1" wrap="square" lIns="9525" tIns="9525" rIns="9525" bIns="9525" anchor="ctr" anchorCtr="0">
                            <a:noAutofit/>
                          </wps:bodyPr>
                        </wps:wsp>
                        <wps:wsp>
                          <wps:cNvPr id="9" name="Téglalap 9"/>
                          <wps:cNvSpPr/>
                          <wps:spPr>
                            <a:xfrm>
                              <a:off x="1961663" y="2769272"/>
                              <a:ext cx="1950191" cy="975095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A33847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Szövegdoboz 11"/>
                          <wps:cNvSpPr txBox="1"/>
                          <wps:spPr>
                            <a:xfrm>
                              <a:off x="1961663" y="2769272"/>
                              <a:ext cx="1950191" cy="97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BC327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</w:rPr>
                                  <w:t>A Semmelweis Egyetem szervezeti egységei</w:t>
                                </w:r>
                              </w:p>
                            </w:txbxContent>
                          </wps:txbx>
                          <wps:bodyPr spcFirstLastPara="1" wrap="square" lIns="9525" tIns="9525" rIns="9525" bIns="9525" anchor="ctr" anchorCtr="0">
                            <a:noAutofit/>
                          </wps:bodyPr>
                        </wps:wsp>
                        <wps:wsp>
                          <wps:cNvPr id="12" name="Téglalap 12"/>
                          <wps:cNvSpPr/>
                          <wps:spPr>
                            <a:xfrm>
                              <a:off x="804965" y="1114417"/>
                              <a:ext cx="1950191" cy="975095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AA2AD8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Szövegdoboz 13"/>
                          <wps:cNvSpPr txBox="1"/>
                          <wps:spPr>
                            <a:xfrm>
                              <a:off x="804965" y="1114417"/>
                              <a:ext cx="1950191" cy="97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05EACB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</w:rPr>
                                  <w:t>Minőségfejlesztési és Minőségértékelő Bizottság (MMB)</w:t>
                                </w:r>
                              </w:p>
                            </w:txbxContent>
                          </wps:txbx>
                          <wps:bodyPr spcFirstLastPara="1" wrap="square" lIns="9525" tIns="9525" rIns="9525" bIns="9525" anchor="ctr" anchorCtr="0">
                            <a:noAutofit/>
                          </wps:bodyPr>
                        </wps:wsp>
                        <wps:wsp>
                          <wps:cNvPr id="14" name="Téglalap 14"/>
                          <wps:cNvSpPr/>
                          <wps:spPr>
                            <a:xfrm>
                              <a:off x="3062877" y="1616777"/>
                              <a:ext cx="1950191" cy="975095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209BC7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Szövegdoboz 15"/>
                          <wps:cNvSpPr txBox="1"/>
                          <wps:spPr>
                            <a:xfrm>
                              <a:off x="3062877" y="1616777"/>
                              <a:ext cx="1950191" cy="97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76E09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</w:rPr>
                                  <w:t>Stratégiai és Fejlesztési Rektorhelyettesi Iroda,</w:t>
                                </w:r>
                              </w:p>
                              <w:p w14:paraId="1DE4FD47" w14:textId="77777777" w:rsidR="0034422D" w:rsidRDefault="0034422D">
                                <w:pPr>
                                  <w:spacing w:before="105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</w:rPr>
                                  <w:t>Minőségbiztosítási Osztály</w:t>
                                </w:r>
                              </w:p>
                            </w:txbxContent>
                          </wps:txbx>
                          <wps:bodyPr spcFirstLastPara="1" wrap="square" lIns="9525" tIns="9525" rIns="9525" bIns="95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81462" id="Csoportba foglalás 8" o:spid="_x0000_s1026" style="width:462.5pt;height:294.85pt;mso-position-horizontal-relative:char;mso-position-vertical-relative:line" coordsize="58735,3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">
                <v:group id="Csoportba foglalás 1" o:spid="_x0000_s1027" style="position:absolute;width:58735;height:37443" coordsize="58735,3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Téglalap 2" o:spid="_x0000_s1028" style="position:absolute;width:58735;height:37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743DB31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abadkézi sokszög 3" o:spid="_x0000_s1029" style="position:absolute;left:29367;top:9750;width:1261;height:11293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" path="m,l,120000r120000,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Szabadkézi sokszög 4" o:spid="_x0000_s1030" style="position:absolute;left:27551;top:9750;width:1816;height:6269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" path="m120000,r,120000l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Szabadkézi sokszög 5" o:spid="_x0000_s1031" style="position:absolute;left:28910;top:9750;width:914;height:17942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" path="m60000,r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Téglalap 6" o:spid="_x0000_s1032" style="position:absolute;left:19616;width:19502;height:9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249EA29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7" o:spid="_x0000_s1033" type="#_x0000_t202" style="position:absolute;left:19616;width:19502;height:9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" filled="f" stroked="f">
                    <v:textbox inset=".75pt,.75pt,.75pt,.75pt">
                      <w:txbxContent>
                        <w:p w14:paraId="2CB5372D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</w:rPr>
                            <w:t>Minőségfejlesztési Tanács (MT)</w:t>
                          </w:r>
                        </w:p>
                      </w:txbxContent>
                    </v:textbox>
                  </v:shape>
                  <v:rect id="Téglalap 9" o:spid="_x0000_s1034" style="position:absolute;left:19616;top:27692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2A33847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11" o:spid="_x0000_s1035" type="#_x0000_t202" style="position:absolute;left:19616;top:27692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" filled="f" stroked="f">
                    <v:textbox inset=".75pt,.75pt,.75pt,.75pt">
                      <w:txbxContent>
                        <w:p w14:paraId="0BABC327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</w:rPr>
                            <w:t>A Semmelweis Egyetem szervezeti egységei</w:t>
                          </w:r>
                        </w:p>
                      </w:txbxContent>
                    </v:textbox>
                  </v:shape>
                  <v:rect id="Téglalap 12" o:spid="_x0000_s1036" style="position:absolute;left:8049;top:11144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AA2AD8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13" o:spid="_x0000_s1037" type="#_x0000_t202" style="position:absolute;left:8049;top:11144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" filled="f" stroked="f">
                    <v:textbox inset=".75pt,.75pt,.75pt,.75pt">
                      <w:txbxContent>
                        <w:p w14:paraId="5D05EACB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</w:rPr>
                            <w:t>Minőségfejlesztési és Minőségértékelő Bizottság (MMB)</w:t>
                          </w:r>
                        </w:p>
                      </w:txbxContent>
                    </v:textbox>
                  </v:shape>
                  <v:rect id="Téglalap 14" o:spid="_x0000_s1038" style="position:absolute;left:30628;top:16167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7209BC7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15" o:spid="_x0000_s1039" type="#_x0000_t202" style="position:absolute;left:30628;top:16167;width:19502;height:9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" filled="f" stroked="f">
                    <v:textbox inset=".75pt,.75pt,.75pt,.75pt">
                      <w:txbxContent>
                        <w:p w14:paraId="00176E09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</w:rPr>
                            <w:t>Stratégiai és Fejlesztési Rektorhelyettesi Iroda,</w:t>
                          </w:r>
                        </w:p>
                        <w:p w14:paraId="1DE4FD47" w14:textId="77777777" w:rsidR="0034422D" w:rsidRDefault="0034422D">
                          <w:pPr>
                            <w:spacing w:before="105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</w:rPr>
                            <w:t>Minőségbiztosítási Osztály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75CB7B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B0080A8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Minőségfejlesztési Tanács</w:t>
      </w:r>
    </w:p>
    <w:p w14:paraId="1D548812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Egyetemen folyó oktató- és kutatómunka minőségét biztosító intézkedések bevezetése és értékelése az alaptevékenységnek megfelelő működtetés körében a rektor, ezek ellenőrzése a Szenátus feladata. E feladatok hatékony ellátását fogja össze és segíti a Minőségfejlesztési Tanács (továbbiakban: MT). Az MT e minőségében véleményező, javaslattevő, döntéselőkészítő és értékelő jogkörrel rendelkezik.</w:t>
      </w:r>
    </w:p>
    <w:p w14:paraId="4EF4E89D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48CB337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44C41933" w14:textId="77777777" w:rsidR="005C2E45" w:rsidRPr="00912716" w:rsidRDefault="00DA592E">
      <w:pPr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lastRenderedPageBreak/>
        <w:t>A Minőségfejlesztési és Minőségértékelő Bizottság feladatköre</w:t>
      </w:r>
    </w:p>
    <w:p w14:paraId="320799A9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Egyetem küldetésnyilatkozata, az intézményi fejlesztési tervben megjelölt stratégiai koncepció, az Alapító Okiratban meghatározott feladatok, és a minőségbiztosítás, minőségellenőrzés és minőségértékelés összhangját biztosító intézkedések kidolgozásának előkészítése;</w:t>
      </w:r>
    </w:p>
    <w:p w14:paraId="689EC3F4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rendszer folyamatos korszerűsítésének előkészítése, javaslat készítése az alapfeladatok ellátásához szükséges optimális szervezeti felépítésre; </w:t>
      </w:r>
    </w:p>
    <w:p w14:paraId="2DD0667F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humán erőforrások fejlesztése, az oktatói és kutatói követelményrendszer meghatározása és teljesítményalapú értékelésére javaslatok kidolgozása; </w:t>
      </w:r>
    </w:p>
    <w:p w14:paraId="2EF8DD78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intézményi hatáskörben indított szakirányú továbbképzési szakok és a felsőfokú szakképzések minőségének vizsgálata; </w:t>
      </w:r>
    </w:p>
    <w:p w14:paraId="1C551B70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személyi és tárgyi feltételek fennállásának, az oktatási és kutatási tevékenység eredményeinek összegzése; </w:t>
      </w:r>
    </w:p>
    <w:p w14:paraId="080A5F2C" w14:textId="77777777" w:rsidR="005C2E45" w:rsidRPr="00912716" w:rsidRDefault="00DA592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Egyetemi minőségcélok kitűzése.</w:t>
      </w:r>
    </w:p>
    <w:p w14:paraId="10F1D967" w14:textId="77777777" w:rsidR="005C2E45" w:rsidRPr="00912716" w:rsidRDefault="005C2E45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92E03A9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A Minőségbiztosítási Osztály </w:t>
      </w:r>
    </w:p>
    <w:p w14:paraId="654F298F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Az Egyetem valamennyi szervezeti egységére vonatkozóan folyamatosan fejleszti és működteti a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rendszert, ennek érdekében rendszeres ellenőrzéseket tart és továbbképzéseket szervez.</w:t>
      </w:r>
    </w:p>
    <w:p w14:paraId="28FA3183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szervezeti egységek megfelelőségének vizsgálatát minden évben belső audit keretében vizsgálják.</w:t>
      </w:r>
    </w:p>
    <w:p w14:paraId="214A2AE9" w14:textId="77777777" w:rsidR="005C2E45" w:rsidRPr="00912716" w:rsidRDefault="005C2E45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55CE897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Minőségbiztosítási Osztály működése, feladatai a következő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al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>-honlapon tekinthető meg:</w:t>
      </w:r>
    </w:p>
    <w:p w14:paraId="4853A852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hyperlink r:id="rId45">
        <w:r w:rsidRPr="00912716">
          <w:rPr>
            <w:rFonts w:ascii="Trebuchet MS" w:eastAsia="Trebuchet MS" w:hAnsi="Trebuchet MS" w:cs="Trebuchet MS"/>
            <w:color w:val="1F4E79" w:themeColor="accent1" w:themeShade="80"/>
            <w:u w:val="single"/>
          </w:rPr>
          <w:t>https://semmelweis.hu/minoseg/</w:t>
        </w:r>
      </w:hyperlink>
    </w:p>
    <w:p w14:paraId="4C6D25DC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Az oldal csak intranetes felületen keresztül látható.</w:t>
      </w:r>
    </w:p>
    <w:p w14:paraId="12523B1F" w14:textId="77777777" w:rsidR="005C2E45" w:rsidRPr="00912716" w:rsidRDefault="005C2E45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7B2D1B3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>A Doktori Iskol</w:t>
      </w:r>
      <w:r w:rsidR="00F7607D" w:rsidRPr="00912716">
        <w:rPr>
          <w:rFonts w:ascii="Trebuchet MS" w:eastAsia="Trebuchet MS" w:hAnsi="Trebuchet MS" w:cs="Trebuchet MS"/>
          <w:b/>
          <w:color w:val="1F4E79" w:themeColor="accent1" w:themeShade="80"/>
        </w:rPr>
        <w:t>a</w:t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 belső minőségügyi rendszere</w:t>
      </w:r>
    </w:p>
    <w:p w14:paraId="53C8065C" w14:textId="77777777" w:rsidR="009A1716" w:rsidRPr="00912716" w:rsidRDefault="009A1716">
      <w:pPr>
        <w:ind w:left="360"/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2223BE22" w14:textId="45A7AA65" w:rsidR="005C2E45" w:rsidRPr="00912716" w:rsidRDefault="009A1716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doktori képzés és doktori fokozatszerzés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keretrendszere dokumentum mutatja be</w:t>
      </w:r>
    </w:p>
    <w:p w14:paraId="5041ECCD" w14:textId="77777777" w:rsidR="005C2E45" w:rsidRPr="00912716" w:rsidRDefault="00DA592E">
      <w:pPr>
        <w:ind w:left="360"/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noProof/>
          <w:color w:val="1F4E79" w:themeColor="accent1" w:themeShade="80"/>
        </w:rPr>
        <w:lastRenderedPageBreak/>
        <mc:AlternateContent>
          <mc:Choice Requires="wpg">
            <w:drawing>
              <wp:inline distT="0" distB="0" distL="0" distR="0" wp14:anchorId="6211853F" wp14:editId="5531B773">
                <wp:extent cx="5283200" cy="2889250"/>
                <wp:effectExtent l="0" t="0" r="0" b="6350"/>
                <wp:docPr id="1172239085" name="Csoportba foglalás 1172239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0" cy="2889250"/>
                          <a:chOff x="0" y="0"/>
                          <a:chExt cx="5573150" cy="2963375"/>
                        </a:xfrm>
                      </wpg:grpSpPr>
                      <wpg:grpSp>
                        <wpg:cNvPr id="1840112597" name="Csoportba foglalás 1840112597"/>
                        <wpg:cNvGrpSpPr/>
                        <wpg:grpSpPr>
                          <a:xfrm>
                            <a:off x="0" y="0"/>
                            <a:ext cx="5573150" cy="2963353"/>
                            <a:chOff x="0" y="0"/>
                            <a:chExt cx="5573150" cy="2963353"/>
                          </a:xfrm>
                        </wpg:grpSpPr>
                        <wps:wsp>
                          <wps:cNvPr id="498201021" name="Téglalap 498201021"/>
                          <wps:cNvSpPr/>
                          <wps:spPr>
                            <a:xfrm>
                              <a:off x="0" y="0"/>
                              <a:ext cx="5573150" cy="288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179375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1142842" name="Szabadkézi sokszög 19"/>
                          <wps:cNvSpPr/>
                          <wps:spPr>
                            <a:xfrm>
                              <a:off x="3082854" y="751635"/>
                              <a:ext cx="157510" cy="6900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77553097" name="Szabadkézi sokszög 20"/>
                          <wps:cNvSpPr/>
                          <wps:spPr>
                            <a:xfrm>
                              <a:off x="3194644" y="751635"/>
                              <a:ext cx="91440" cy="13800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0197015" name="Téglalap 930197015"/>
                          <wps:cNvSpPr/>
                          <wps:spPr>
                            <a:xfrm>
                              <a:off x="2490313" y="1584"/>
                              <a:ext cx="1500101" cy="750050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FE0389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4682770" name="Szövegdoboz 1224682770"/>
                          <wps:cNvSpPr txBox="1"/>
                          <wps:spPr>
                            <a:xfrm>
                              <a:off x="2490313" y="1584"/>
                              <a:ext cx="1500101" cy="75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AD6F2F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Egyetemi Doktori Tanács (EDT)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  <wps:wsp>
                          <wps:cNvPr id="2092623161" name="Téglalap 2092623161"/>
                          <wps:cNvSpPr/>
                          <wps:spPr>
                            <a:xfrm>
                              <a:off x="2490313" y="2131728"/>
                              <a:ext cx="1500101" cy="750050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D9414E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562556" name="Szövegdoboz 57562556"/>
                          <wps:cNvSpPr txBox="1"/>
                          <wps:spPr>
                            <a:xfrm>
                              <a:off x="2490313" y="2213353"/>
                              <a:ext cx="1500000" cy="75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6179AB" w14:textId="77777777" w:rsidR="0034422D" w:rsidRDefault="00F7607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Doktori Iskola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  <wps:wsp>
                          <wps:cNvPr id="1899506543" name="Téglalap 1899506543"/>
                          <wps:cNvSpPr/>
                          <wps:spPr>
                            <a:xfrm>
                              <a:off x="1582752" y="1066656"/>
                              <a:ext cx="1500101" cy="750050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90E76D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1312691" name="Szövegdoboz 331312691"/>
                          <wps:cNvSpPr txBox="1"/>
                          <wps:spPr>
                            <a:xfrm>
                              <a:off x="1547352" y="1048580"/>
                              <a:ext cx="1535273" cy="805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7E54D7" w14:textId="77777777" w:rsidR="0034422D" w:rsidRPr="00F7607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F7607D">
                                  <w:rPr>
                                    <w:rFonts w:ascii="Calibri" w:eastAsia="Calibri" w:hAnsi="Calibri" w:cs="Calibri"/>
                                    <w:color w:val="000000"/>
                                    <w:sz w:val="30"/>
                                    <w:szCs w:val="30"/>
                                  </w:rPr>
                                  <w:t>Véleményező és Minőségértékelő Bizottság (VMB)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1853F" id="Csoportba foglalás 1172239085" o:spid="_x0000_s1040" style="width:416pt;height:227.5pt;mso-position-horizontal-relative:char;mso-position-vertical-relative:line" coordsize="55731,29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">
                <v:group id="Csoportba foglalás 1840112597" o:spid="_x0000_s1041" style="position:absolute;width:55731;height:29633" coordsize="55731,2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">
                  <v:rect id="Téglalap 498201021" o:spid="_x0000_s1042" style="position:absolute;width:55731;height:28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" filled="f" stroked="f">
                    <v:textbox inset="2.53958mm,2.53958mm,2.53958mm,2.53958mm">
                      <w:txbxContent>
                        <w:p w14:paraId="37179375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abadkézi sokszög 19" o:spid="_x0000_s1043" style="position:absolute;left:30828;top:7516;width:1575;height:6900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" path="m120000,r,120000l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Szabadkézi sokszög 20" o:spid="_x0000_s1044" style="position:absolute;left:31946;top:7516;width:914;height:1380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" path="m60000,r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Téglalap 930197015" o:spid="_x0000_s1045" style="position:absolute;left:24903;top:15;width:15001;height:7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DFE0389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1224682770" o:spid="_x0000_s1046" type="#_x0000_t202" style="position:absolute;left:24903;top:15;width:15001;height:7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" filled="f" stroked="f">
                    <v:textbox inset=".29931mm,.29931mm,.29931mm,.29931mm">
                      <w:txbxContent>
                        <w:p w14:paraId="6EAD6F2F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Egyetemi Doktori Tanács (EDT)</w:t>
                          </w:r>
                        </w:p>
                      </w:txbxContent>
                    </v:textbox>
                  </v:shape>
                  <v:rect id="Téglalap 2092623161" o:spid="_x0000_s1047" style="position:absolute;left:24903;top:21317;width:15001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D9414E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57562556" o:spid="_x0000_s1048" type="#_x0000_t202" style="position:absolute;left:24903;top:22133;width:15000;height: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" filled="f" stroked="f">
                    <v:textbox inset=".29931mm,.29931mm,.29931mm,.29931mm">
                      <w:txbxContent>
                        <w:p w14:paraId="546179AB" w14:textId="77777777" w:rsidR="0034422D" w:rsidRDefault="00F7607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Doktori Iskola</w:t>
                          </w:r>
                        </w:p>
                      </w:txbxContent>
                    </v:textbox>
                  </v:shape>
                  <v:rect id="Téglalap 1899506543" o:spid="_x0000_s1049" style="position:absolute;left:15827;top:10666;width:15001;height:7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E90E76D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331312691" o:spid="_x0000_s1050" type="#_x0000_t202" style="position:absolute;left:15473;top:10485;width:15353;height:8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" filled="f" stroked="f">
                    <v:textbox inset=".29931mm,.29931mm,.29931mm,.29931mm">
                      <w:txbxContent>
                        <w:p w14:paraId="297E54D7" w14:textId="77777777" w:rsidR="0034422D" w:rsidRPr="00F7607D" w:rsidRDefault="0034422D">
                          <w:pPr>
                            <w:spacing w:line="215" w:lineRule="auto"/>
                            <w:jc w:val="center"/>
                            <w:textDirection w:val="btLr"/>
                            <w:rPr>
                              <w:sz w:val="30"/>
                              <w:szCs w:val="30"/>
                            </w:rPr>
                          </w:pPr>
                          <w:r w:rsidRPr="00F7607D"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</w:rPr>
                            <w:t>Véleményező és Minőségértékelő Bizottság (VMB)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C265522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9958D2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954EFA8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6A7AB561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A </w:t>
      </w:r>
      <w:r w:rsidR="00F7607D" w:rsidRPr="00912716">
        <w:rPr>
          <w:rFonts w:ascii="Trebuchet MS" w:eastAsia="Trebuchet MS" w:hAnsi="Trebuchet MS" w:cs="Trebuchet MS"/>
          <w:b/>
          <w:color w:val="1F4E79" w:themeColor="accent1" w:themeShade="80"/>
        </w:rPr>
        <w:t>Tagozatok</w:t>
      </w:r>
      <w:r w:rsidRPr="00912716">
        <w:rPr>
          <w:rFonts w:ascii="Trebuchet MS" w:eastAsia="Trebuchet MS" w:hAnsi="Trebuchet MS" w:cs="Trebuchet MS"/>
          <w:b/>
          <w:color w:val="1F4E79" w:themeColor="accent1" w:themeShade="80"/>
        </w:rPr>
        <w:t xml:space="preserve"> minőségirányítással kapcsolatos felépítése</w:t>
      </w:r>
    </w:p>
    <w:p w14:paraId="32A4DCEF" w14:textId="77777777" w:rsidR="009A1716" w:rsidRPr="00912716" w:rsidRDefault="009A1716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</w:p>
    <w:p w14:paraId="008D30AB" w14:textId="77777777" w:rsidR="005C2E45" w:rsidRPr="00912716" w:rsidRDefault="00DA592E">
      <w:pPr>
        <w:jc w:val="both"/>
        <w:rPr>
          <w:rFonts w:ascii="Trebuchet MS" w:eastAsia="Trebuchet MS" w:hAnsi="Trebuchet MS" w:cs="Trebuchet MS"/>
          <w:b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b/>
          <w:noProof/>
          <w:color w:val="1F4E79" w:themeColor="accent1" w:themeShade="80"/>
        </w:rPr>
        <mc:AlternateContent>
          <mc:Choice Requires="wpg">
            <w:drawing>
              <wp:inline distT="0" distB="0" distL="0" distR="0" wp14:anchorId="6F579064" wp14:editId="0D4B2F76">
                <wp:extent cx="5664200" cy="3714750"/>
                <wp:effectExtent l="0" t="0" r="0" b="0"/>
                <wp:docPr id="154281510" name="Csoportba foglalás 15428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3714750"/>
                          <a:chOff x="0" y="0"/>
                          <a:chExt cx="5664200" cy="3714750"/>
                        </a:xfrm>
                      </wpg:grpSpPr>
                      <wpg:grpSp>
                        <wpg:cNvPr id="466791536" name="Csoportba foglalás 466791536"/>
                        <wpg:cNvGrpSpPr/>
                        <wpg:grpSpPr>
                          <a:xfrm>
                            <a:off x="0" y="0"/>
                            <a:ext cx="5664200" cy="3714750"/>
                            <a:chOff x="0" y="0"/>
                            <a:chExt cx="5664200" cy="3714750"/>
                          </a:xfrm>
                        </wpg:grpSpPr>
                        <wps:wsp>
                          <wps:cNvPr id="1065684376" name="Téglalap 1065684376"/>
                          <wps:cNvSpPr/>
                          <wps:spPr>
                            <a:xfrm>
                              <a:off x="0" y="0"/>
                              <a:ext cx="5664200" cy="371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0E3053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69163789" name="Szabadkézi sokszög 30"/>
                          <wps:cNvSpPr/>
                          <wps:spPr>
                            <a:xfrm>
                              <a:off x="2783925" y="523825"/>
                              <a:ext cx="154220" cy="581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91319081" name="Szabadkézi sokszög 31"/>
                          <wps:cNvSpPr/>
                          <wps:spPr>
                            <a:xfrm>
                              <a:off x="2391186" y="2369680"/>
                              <a:ext cx="1039995" cy="7800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5940847" name="Szabadkézi sokszög 32"/>
                          <wps:cNvSpPr/>
                          <wps:spPr>
                            <a:xfrm>
                              <a:off x="2887558" y="523825"/>
                              <a:ext cx="91440" cy="13227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66387" y="0"/>
                                  </a:moveTo>
                                  <a:lnTo>
                                    <a:pt x="66387" y="103502"/>
                                  </a:lnTo>
                                  <a:lnTo>
                                    <a:pt x="60000" y="103502"/>
                                  </a:ln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944010" name="Téglalap 209944010"/>
                          <wps:cNvSpPr/>
                          <wps:spPr>
                            <a:xfrm>
                              <a:off x="2287715" y="206"/>
                              <a:ext cx="1300861" cy="523619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28C0D8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8353157" name="Szövegdoboz 368353157"/>
                          <wps:cNvSpPr txBox="1"/>
                          <wps:spPr>
                            <a:xfrm>
                              <a:off x="2287715" y="206"/>
                              <a:ext cx="1300861" cy="5236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23CBDD" w14:textId="77777777" w:rsidR="0034422D" w:rsidRDefault="00F7607D" w:rsidP="00F7607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Tagozat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  <wps:wsp>
                          <wps:cNvPr id="892364326" name="Téglalap 892364326"/>
                          <wps:cNvSpPr/>
                          <wps:spPr>
                            <a:xfrm>
                              <a:off x="2255663" y="1846597"/>
                              <a:ext cx="1355229" cy="523082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B5FF78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61227595" name="Szövegdoboz 1361227595"/>
                          <wps:cNvSpPr txBox="1"/>
                          <wps:spPr>
                            <a:xfrm>
                              <a:off x="2255663" y="1846597"/>
                              <a:ext cx="1355229" cy="523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6DF629" w14:textId="77777777" w:rsidR="0034422D" w:rsidRDefault="00F7607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 xml:space="preserve">Tagozat </w:t>
                                </w:r>
                                <w:r w:rsidR="0034422D"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Tanácsa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  <wps:wsp>
                          <wps:cNvPr id="2087707616" name="Téglalap 2087707616"/>
                          <wps:cNvSpPr/>
                          <wps:spPr>
                            <a:xfrm>
                              <a:off x="3431182" y="2794556"/>
                              <a:ext cx="1826620" cy="710436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0342A9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8690398" name="Szövegdoboz 328690398"/>
                          <wps:cNvSpPr txBox="1"/>
                          <wps:spPr>
                            <a:xfrm>
                              <a:off x="3431182" y="2794556"/>
                              <a:ext cx="1826620" cy="710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7DBF62" w14:textId="77777777" w:rsidR="0034422D" w:rsidRDefault="0034422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Ad hoc/minőségügyi Munkacsoport(ok)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  <wps:wsp>
                          <wps:cNvPr id="1048252137" name="Téglalap 1048252137"/>
                          <wps:cNvSpPr/>
                          <wps:spPr>
                            <a:xfrm>
                              <a:off x="1479877" y="834258"/>
                              <a:ext cx="1304048" cy="541416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w="12700" cap="flat" cmpd="sng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99F812" w14:textId="77777777" w:rsidR="0034422D" w:rsidRDefault="0034422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4853055" name="Szövegdoboz 714853055"/>
                          <wps:cNvSpPr txBox="1"/>
                          <wps:spPr>
                            <a:xfrm>
                              <a:off x="1479877" y="834258"/>
                              <a:ext cx="1304048" cy="5414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7D28DA" w14:textId="77777777" w:rsidR="0034422D" w:rsidRDefault="00F7607D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>Tagozat</w:t>
                                </w:r>
                                <w:r w:rsidR="0034422D">
                                  <w:rPr>
                                    <w:rFonts w:ascii="Calibri" w:eastAsia="Calibri" w:hAnsi="Calibri" w:cs="Calibri"/>
                                    <w:color w:val="000000"/>
                                    <w:sz w:val="34"/>
                                  </w:rPr>
                                  <w:t xml:space="preserve"> vezetője</w:t>
                                </w:r>
                              </w:p>
                            </w:txbxContent>
                          </wps:txbx>
                          <wps:bodyPr spcFirstLastPara="1" wrap="square" lIns="10775" tIns="10775" rIns="10775" bIns="107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579064" id="Csoportba foglalás 154281510" o:spid="_x0000_s1051" style="width:446pt;height:292.5pt;mso-position-horizontal-relative:char;mso-position-vertical-relative:line" coordsize="56642,3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">
                <v:group id="Csoportba foglalás 466791536" o:spid="_x0000_s1052" style="position:absolute;width:56642;height:37147" coordsize="56642,3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YAH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">
                  <v:rect id="Téglalap 1065684376" o:spid="_x0000_s1053" style="position:absolute;width:56642;height:37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D0E3053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abadkézi sokszög 30" o:spid="_x0000_s1054" style="position:absolute;left:27839;top:5238;width:1542;height:581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" path="m120000,r,120000l,120000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Szabadkézi sokszög 31" o:spid="_x0000_s1055" style="position:absolute;left:23911;top:23696;width:10400;height:7801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" path="m,l,120000r120000,e" filled="f" strokecolor="#528cbe" strokeweight="1pt">
                    <v:stroke startarrowwidth="narrow" startarrowlength="short" endarrowwidth="narrow" endarrowlength="short" joinstyle="miter"/>
                    <v:path arrowok="t" o:extrusionok="f"/>
                  </v:shape>
                  <v:shape id="Szabadkézi sokszög 32" o:spid="_x0000_s1056" style="position:absolute;left:28875;top:5238;width:914;height:13227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" path="m66387,r,103502l60000,103502r,16498e" filled="f" strokecolor="#487aa8" strokeweight="1pt">
                    <v:stroke startarrowwidth="narrow" startarrowlength="short" endarrowwidth="narrow" endarrowlength="short" joinstyle="miter"/>
                    <v:path arrowok="t" o:extrusionok="f"/>
                  </v:shape>
                  <v:rect id="Téglalap 209944010" o:spid="_x0000_s1057" style="position:absolute;left:22877;top:2;width:13008;height:5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A28C0D8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368353157" o:spid="_x0000_s1058" type="#_x0000_t202" style="position:absolute;left:22877;top:2;width:13008;height:5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" filled="f" stroked="f">
                    <v:textbox inset=".29931mm,.29931mm,.29931mm,.29931mm">
                      <w:txbxContent>
                        <w:p w14:paraId="5523CBDD" w14:textId="77777777" w:rsidR="0034422D" w:rsidRDefault="00F7607D" w:rsidP="00F7607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Tagozat</w:t>
                          </w:r>
                        </w:p>
                      </w:txbxContent>
                    </v:textbox>
                  </v:shape>
                  <v:rect id="Téglalap 892364326" o:spid="_x0000_s1059" style="position:absolute;left:22556;top:18465;width:13552;height:5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AB5FF78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1361227595" o:spid="_x0000_s1060" type="#_x0000_t202" style="position:absolute;left:22556;top:18465;width:13552;height:5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" filled="f" stroked="f">
                    <v:textbox inset=".29931mm,.29931mm,.29931mm,.29931mm">
                      <w:txbxContent>
                        <w:p w14:paraId="0C6DF629" w14:textId="77777777" w:rsidR="0034422D" w:rsidRDefault="00F7607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 xml:space="preserve">Tagozat </w:t>
                          </w:r>
                          <w:r w:rsidR="0034422D"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Tanácsa</w:t>
                          </w:r>
                        </w:p>
                      </w:txbxContent>
                    </v:textbox>
                  </v:shape>
                  <v:rect id="Téglalap 2087707616" o:spid="_x0000_s1061" style="position:absolute;left:34311;top:27945;width:18267;height:7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80342A9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328690398" o:spid="_x0000_s1062" type="#_x0000_t202" style="position:absolute;left:34311;top:27945;width:18267;height:7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" filled="f" stroked="f">
                    <v:textbox inset=".29931mm,.29931mm,.29931mm,.29931mm">
                      <w:txbxContent>
                        <w:p w14:paraId="427DBF62" w14:textId="77777777" w:rsidR="0034422D" w:rsidRDefault="0034422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Ad hoc/minőségügyi Munkacsoport(ok)</w:t>
                          </w:r>
                        </w:p>
                      </w:txbxContent>
                    </v:textbox>
                  </v:shape>
                  <v:rect id="Téglalap 1048252137" o:spid="_x0000_s1063" style="position:absolute;left:14798;top:8342;width:13041;height:5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" fillcolor="#599bd5" strokecolor="white [3201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699F812" w14:textId="77777777" w:rsidR="0034422D" w:rsidRDefault="0034422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övegdoboz 714853055" o:spid="_x0000_s1064" type="#_x0000_t202" style="position:absolute;left:14798;top:8342;width:13041;height:5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" filled="f" stroked="f">
                    <v:textbox inset=".29931mm,.29931mm,.29931mm,.29931mm">
                      <w:txbxContent>
                        <w:p w14:paraId="2C7D28DA" w14:textId="77777777" w:rsidR="0034422D" w:rsidRDefault="00F7607D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>Tagozat</w:t>
                          </w:r>
                          <w:r w:rsidR="0034422D">
                            <w:rPr>
                              <w:rFonts w:ascii="Calibri" w:eastAsia="Calibri" w:hAnsi="Calibri" w:cs="Calibri"/>
                              <w:color w:val="000000"/>
                              <w:sz w:val="34"/>
                            </w:rPr>
                            <w:t xml:space="preserve"> vezetője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90CF3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3DC1F4F3" w14:textId="77777777" w:rsidR="00A3224D" w:rsidRPr="00912716" w:rsidRDefault="00A3224D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06227C95" w14:textId="77777777" w:rsidR="00A3224D" w:rsidRPr="00912716" w:rsidRDefault="00A3224D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256A2236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73AF3D84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lastRenderedPageBreak/>
        <w:t>A Külső minőségbiztosítás keretei:</w:t>
      </w:r>
    </w:p>
    <w:p w14:paraId="24D7F13B" w14:textId="77777777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</w:t>
      </w:r>
      <w:r w:rsidR="00F7607D" w:rsidRPr="00912716">
        <w:rPr>
          <w:rFonts w:ascii="Trebuchet MS" w:eastAsia="Trebuchet MS" w:hAnsi="Trebuchet MS" w:cs="Trebuchet MS"/>
          <w:color w:val="1F4E79" w:themeColor="accent1" w:themeShade="80"/>
        </w:rPr>
        <w:t>mmelweis Egyetem Doktori Iskolája megfelel</w:t>
      </w: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a Magyar Felsőoktatási Akkreditációs Bizottság (MAB) elvárásainak. A MAB akkreditáció folyamatos fenntartása biztosítja, hogy a látogató bizottság ismeri, figyelembe veszi az Egyetem külső, belső környezetét, működési kereteit, teljesítményét, fejlődési irányait, és az előző akkreditációs időszak óta megtett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minőségbiztosítási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,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minőségfejlesztési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eredményeit.</w:t>
      </w:r>
    </w:p>
    <w:p w14:paraId="0B4E3D14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5389D72B" w14:textId="74121FD1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>A Semmelweis Egyetem 2008 óta folyamatosan külső tanúsítási folyamaton is keresztül megy. A szerződött partnercég ismeri az egyetemi környezetet, az évenkénti külső auditon azt figyelembe véve megállapításokat tesz, fejlesztési javaslatokat ad, és tanúsítványt állít ki.</w:t>
      </w:r>
    </w:p>
    <w:p w14:paraId="6A108195" w14:textId="77777777" w:rsidR="005C2E45" w:rsidRPr="00912716" w:rsidRDefault="005C2E45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</w:p>
    <w:p w14:paraId="16481FBA" w14:textId="443A1A85" w:rsidR="005C2E45" w:rsidRPr="00912716" w:rsidRDefault="00DA592E">
      <w:pPr>
        <w:jc w:val="both"/>
        <w:rPr>
          <w:rFonts w:ascii="Trebuchet MS" w:eastAsia="Trebuchet MS" w:hAnsi="Trebuchet MS" w:cs="Trebuchet MS"/>
          <w:color w:val="1F4E79" w:themeColor="accent1" w:themeShade="80"/>
        </w:rPr>
      </w:pPr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A Külső minőségellenőrző partnerek, az egyetemi környezet és az egyetemi működés ismerete a minőségellenőrzők részéről biztosítja, hogy az Egyetem a saját lehetőségei és </w:t>
      </w:r>
      <w:proofErr w:type="spellStart"/>
      <w:r w:rsidRPr="00912716">
        <w:rPr>
          <w:rFonts w:ascii="Trebuchet MS" w:eastAsia="Trebuchet MS" w:hAnsi="Trebuchet MS" w:cs="Trebuchet MS"/>
          <w:color w:val="1F4E79" w:themeColor="accent1" w:themeShade="80"/>
        </w:rPr>
        <w:t>korlátai</w:t>
      </w:r>
      <w:proofErr w:type="spellEnd"/>
      <w:r w:rsidRPr="00912716">
        <w:rPr>
          <w:rFonts w:ascii="Trebuchet MS" w:eastAsia="Trebuchet MS" w:hAnsi="Trebuchet MS" w:cs="Trebuchet MS"/>
          <w:color w:val="1F4E79" w:themeColor="accent1" w:themeShade="80"/>
        </w:rPr>
        <w:t xml:space="preserve"> mellett olyan ajánlásokat, fejlesztési javaslatokat, javító intézkedéseket tegyen meg, ami elősegíti a folyamatos fejlesztés lehetőségét (PDCA ciklus).</w:t>
      </w:r>
    </w:p>
    <w:sectPr w:rsidR="005C2E45" w:rsidRPr="00912716">
      <w:headerReference w:type="default" r:id="rId46"/>
      <w:footerReference w:type="default" r:id="rId47"/>
      <w:pgSz w:w="11906" w:h="16838"/>
      <w:pgMar w:top="1418" w:right="1134" w:bottom="1418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1B13" w14:textId="77777777" w:rsidR="00EE3DEA" w:rsidRDefault="00EE3DEA">
      <w:r>
        <w:separator/>
      </w:r>
    </w:p>
  </w:endnote>
  <w:endnote w:type="continuationSeparator" w:id="0">
    <w:p w14:paraId="01FE1E72" w14:textId="77777777" w:rsidR="00EE3DEA" w:rsidRDefault="00EE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CB59" w14:textId="77777777" w:rsidR="0034422D" w:rsidRDefault="003442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rebuchet MS" w:eastAsia="Trebuchet MS" w:hAnsi="Trebuchet MS" w:cs="Trebuchet MS"/>
        <w:color w:val="242F62"/>
      </w:rPr>
    </w:pPr>
  </w:p>
  <w:tbl>
    <w:tblPr>
      <w:tblStyle w:val="a1"/>
      <w:tblW w:w="9344" w:type="dxa"/>
      <w:tblInd w:w="0" w:type="dxa"/>
      <w:tblBorders>
        <w:top w:val="single" w:sz="4" w:space="0" w:color="E3D496"/>
        <w:left w:val="nil"/>
        <w:bottom w:val="nil"/>
        <w:right w:val="nil"/>
        <w:insideH w:val="single" w:sz="4" w:space="0" w:color="E3D496"/>
        <w:insideV w:val="nil"/>
      </w:tblBorders>
      <w:tblLayout w:type="fixed"/>
      <w:tblLook w:val="0400" w:firstRow="0" w:lastRow="0" w:firstColumn="0" w:lastColumn="0" w:noHBand="0" w:noVBand="1"/>
    </w:tblPr>
    <w:tblGrid>
      <w:gridCol w:w="3114"/>
      <w:gridCol w:w="4399"/>
      <w:gridCol w:w="1831"/>
    </w:tblGrid>
    <w:tr w:rsidR="0034422D" w14:paraId="714E9D65" w14:textId="77777777">
      <w:tc>
        <w:tcPr>
          <w:tcW w:w="3114" w:type="dxa"/>
        </w:tcPr>
        <w:p w14:paraId="2858031B" w14:textId="6DA1F57C" w:rsidR="0034422D" w:rsidRDefault="0034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rFonts w:ascii="Trebuchet MS" w:eastAsia="Trebuchet MS" w:hAnsi="Trebuchet MS" w:cs="Trebuchet MS"/>
              <w:color w:val="242F6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t xml:space="preserve">Érvényes: </w:t>
          </w:r>
          <w:r w:rsidR="00E04793"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t>2025/26 tanévtől</w:t>
          </w:r>
        </w:p>
      </w:tc>
      <w:tc>
        <w:tcPr>
          <w:tcW w:w="4399" w:type="dxa"/>
        </w:tcPr>
        <w:p w14:paraId="537BDA41" w14:textId="77777777" w:rsidR="0034422D" w:rsidRDefault="0034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rFonts w:ascii="Trebuchet MS" w:eastAsia="Trebuchet MS" w:hAnsi="Trebuchet MS" w:cs="Trebuchet MS"/>
              <w:color w:val="242F6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t>SE-DI-ESG-MŰKÖDÉSI_SZABÁLYZAT</w:t>
          </w:r>
        </w:p>
      </w:tc>
      <w:tc>
        <w:tcPr>
          <w:tcW w:w="1831" w:type="dxa"/>
        </w:tcPr>
        <w:p w14:paraId="5170D956" w14:textId="77777777" w:rsidR="0034422D" w:rsidRDefault="003442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jc w:val="right"/>
            <w:rPr>
              <w:rFonts w:ascii="Trebuchet MS" w:eastAsia="Trebuchet MS" w:hAnsi="Trebuchet MS" w:cs="Trebuchet MS"/>
              <w:color w:val="242F6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begin"/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instrText>PAGE</w:instrText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separate"/>
          </w:r>
          <w:r w:rsidR="006F1ABB">
            <w:rPr>
              <w:rFonts w:ascii="Trebuchet MS" w:eastAsia="Trebuchet MS" w:hAnsi="Trebuchet MS" w:cs="Trebuchet MS"/>
              <w:noProof/>
              <w:color w:val="242F62"/>
              <w:sz w:val="20"/>
              <w:szCs w:val="20"/>
            </w:rPr>
            <w:t>9</w:t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end"/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t>/</w:t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begin"/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instrText>NUMPAGES</w:instrText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separate"/>
          </w:r>
          <w:r w:rsidR="006F1ABB">
            <w:rPr>
              <w:rFonts w:ascii="Trebuchet MS" w:eastAsia="Trebuchet MS" w:hAnsi="Trebuchet MS" w:cs="Trebuchet MS"/>
              <w:noProof/>
              <w:color w:val="242F62"/>
              <w:sz w:val="20"/>
              <w:szCs w:val="20"/>
            </w:rPr>
            <w:t>28</w:t>
          </w:r>
          <w:r>
            <w:rPr>
              <w:rFonts w:ascii="Trebuchet MS" w:eastAsia="Trebuchet MS" w:hAnsi="Trebuchet MS" w:cs="Trebuchet MS"/>
              <w:color w:val="242F62"/>
              <w:sz w:val="20"/>
              <w:szCs w:val="20"/>
            </w:rPr>
            <w:fldChar w:fldCharType="end"/>
          </w:r>
        </w:p>
      </w:tc>
    </w:tr>
  </w:tbl>
  <w:p w14:paraId="6FF90DC5" w14:textId="77777777" w:rsidR="0034422D" w:rsidRDefault="00344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rebuchet MS" w:eastAsia="Trebuchet MS" w:hAnsi="Trebuchet MS" w:cs="Trebuchet MS"/>
        <w:color w:val="242F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C24D" w14:textId="77777777" w:rsidR="00EE3DEA" w:rsidRDefault="00EE3DEA">
      <w:r>
        <w:separator/>
      </w:r>
    </w:p>
  </w:footnote>
  <w:footnote w:type="continuationSeparator" w:id="0">
    <w:p w14:paraId="668B2706" w14:textId="77777777" w:rsidR="00EE3DEA" w:rsidRDefault="00EE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2085" w14:textId="77777777" w:rsidR="0034422D" w:rsidRDefault="00344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242F62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885752" wp14:editId="3B8ACF6A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159635" cy="703580"/>
          <wp:effectExtent l="0" t="0" r="0" b="1270"/>
          <wp:wrapSquare wrapText="right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635" cy="70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244C22" w14:textId="77777777" w:rsidR="0034422D" w:rsidRDefault="00344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242F62"/>
        <w:sz w:val="22"/>
        <w:szCs w:val="22"/>
      </w:rPr>
    </w:pPr>
    <w:r>
      <w:rPr>
        <w:rFonts w:ascii="Trebuchet MS" w:eastAsia="Trebuchet MS" w:hAnsi="Trebuchet MS" w:cs="Trebuchet MS"/>
        <w:color w:val="242F62"/>
        <w:sz w:val="22"/>
        <w:szCs w:val="22"/>
      </w:rPr>
      <w:t>ESG alapú Működési Szabályzat</w:t>
    </w:r>
  </w:p>
  <w:p w14:paraId="1A898893" w14:textId="77777777" w:rsidR="0034422D" w:rsidRDefault="003442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rebuchet MS" w:eastAsia="Trebuchet MS" w:hAnsi="Trebuchet MS" w:cs="Trebuchet MS"/>
        <w:color w:val="242F62"/>
        <w:sz w:val="22"/>
        <w:szCs w:val="22"/>
      </w:rPr>
    </w:pPr>
  </w:p>
  <w:p w14:paraId="2949292C" w14:textId="77777777" w:rsidR="0034422D" w:rsidRDefault="0034422D">
    <w:pPr>
      <w:pBdr>
        <w:top w:val="single" w:sz="4" w:space="1" w:color="E3D496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Trebuchet MS" w:eastAsia="Trebuchet MS" w:hAnsi="Trebuchet MS" w:cs="Trebuchet MS"/>
        <w:color w:val="242F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79F"/>
    <w:multiLevelType w:val="multilevel"/>
    <w:tmpl w:val="ACCA61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52785"/>
    <w:multiLevelType w:val="multilevel"/>
    <w:tmpl w:val="B54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F0D4D"/>
    <w:multiLevelType w:val="multilevel"/>
    <w:tmpl w:val="D9A0837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1632CF"/>
    <w:multiLevelType w:val="multilevel"/>
    <w:tmpl w:val="CDCCAD9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3C5505"/>
    <w:multiLevelType w:val="multilevel"/>
    <w:tmpl w:val="BB1A5F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736B03"/>
    <w:multiLevelType w:val="multilevel"/>
    <w:tmpl w:val="624676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B73853"/>
    <w:multiLevelType w:val="multilevel"/>
    <w:tmpl w:val="EB2ED5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F7620A"/>
    <w:multiLevelType w:val="multilevel"/>
    <w:tmpl w:val="B73E68BE"/>
    <w:lvl w:ilvl="0">
      <w:start w:val="1"/>
      <w:numFmt w:val="bullet"/>
      <w:pStyle w:val="felsorols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B541CB"/>
    <w:multiLevelType w:val="multilevel"/>
    <w:tmpl w:val="9E26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B4D2C"/>
    <w:multiLevelType w:val="multilevel"/>
    <w:tmpl w:val="88F0C1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A35B2E"/>
    <w:multiLevelType w:val="multilevel"/>
    <w:tmpl w:val="91643B9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435F07"/>
    <w:multiLevelType w:val="multilevel"/>
    <w:tmpl w:val="BFC6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C3553"/>
    <w:multiLevelType w:val="multilevel"/>
    <w:tmpl w:val="EB84C8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360615"/>
    <w:multiLevelType w:val="multilevel"/>
    <w:tmpl w:val="EDAEDB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AD54BE"/>
    <w:multiLevelType w:val="multilevel"/>
    <w:tmpl w:val="65969A3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BB3FCD"/>
    <w:multiLevelType w:val="multilevel"/>
    <w:tmpl w:val="C8CA9D64"/>
    <w:lvl w:ilvl="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E1206F"/>
    <w:multiLevelType w:val="multilevel"/>
    <w:tmpl w:val="D39236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EE0275"/>
    <w:multiLevelType w:val="multilevel"/>
    <w:tmpl w:val="094888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6465643">
    <w:abstractNumId w:val="7"/>
  </w:num>
  <w:num w:numId="2" w16cid:durableId="649552440">
    <w:abstractNumId w:val="16"/>
  </w:num>
  <w:num w:numId="3" w16cid:durableId="527764251">
    <w:abstractNumId w:val="4"/>
  </w:num>
  <w:num w:numId="4" w16cid:durableId="1080954374">
    <w:abstractNumId w:val="10"/>
  </w:num>
  <w:num w:numId="5" w16cid:durableId="205263267">
    <w:abstractNumId w:val="3"/>
  </w:num>
  <w:num w:numId="6" w16cid:durableId="25523138">
    <w:abstractNumId w:val="9"/>
  </w:num>
  <w:num w:numId="7" w16cid:durableId="520322893">
    <w:abstractNumId w:val="14"/>
  </w:num>
  <w:num w:numId="8" w16cid:durableId="1955406283">
    <w:abstractNumId w:val="6"/>
  </w:num>
  <w:num w:numId="9" w16cid:durableId="732461283">
    <w:abstractNumId w:val="5"/>
  </w:num>
  <w:num w:numId="10" w16cid:durableId="1381978854">
    <w:abstractNumId w:val="12"/>
  </w:num>
  <w:num w:numId="11" w16cid:durableId="1684088432">
    <w:abstractNumId w:val="17"/>
  </w:num>
  <w:num w:numId="12" w16cid:durableId="1211266344">
    <w:abstractNumId w:val="13"/>
  </w:num>
  <w:num w:numId="13" w16cid:durableId="1838689872">
    <w:abstractNumId w:val="0"/>
  </w:num>
  <w:num w:numId="14" w16cid:durableId="751660193">
    <w:abstractNumId w:val="2"/>
  </w:num>
  <w:num w:numId="15" w16cid:durableId="1775129560">
    <w:abstractNumId w:val="15"/>
  </w:num>
  <w:num w:numId="16" w16cid:durableId="2046785658">
    <w:abstractNumId w:val="8"/>
  </w:num>
  <w:num w:numId="17" w16cid:durableId="2028751840">
    <w:abstractNumId w:val="11"/>
  </w:num>
  <w:num w:numId="18" w16cid:durableId="44088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45"/>
    <w:rsid w:val="000272BA"/>
    <w:rsid w:val="000421F0"/>
    <w:rsid w:val="00067BE4"/>
    <w:rsid w:val="00090DD1"/>
    <w:rsid w:val="000D5785"/>
    <w:rsid w:val="001948FB"/>
    <w:rsid w:val="001D2980"/>
    <w:rsid w:val="001F62A4"/>
    <w:rsid w:val="00204C00"/>
    <w:rsid w:val="00215A98"/>
    <w:rsid w:val="002933CA"/>
    <w:rsid w:val="002B3D74"/>
    <w:rsid w:val="002E24F9"/>
    <w:rsid w:val="002F284C"/>
    <w:rsid w:val="00301AD7"/>
    <w:rsid w:val="00307C60"/>
    <w:rsid w:val="0032148E"/>
    <w:rsid w:val="00322F63"/>
    <w:rsid w:val="0033374A"/>
    <w:rsid w:val="0034422D"/>
    <w:rsid w:val="00396A80"/>
    <w:rsid w:val="003C70C9"/>
    <w:rsid w:val="004253CC"/>
    <w:rsid w:val="004362D1"/>
    <w:rsid w:val="0043702E"/>
    <w:rsid w:val="004A29AD"/>
    <w:rsid w:val="004A4FFF"/>
    <w:rsid w:val="00581848"/>
    <w:rsid w:val="005B4A65"/>
    <w:rsid w:val="005B7C1D"/>
    <w:rsid w:val="005C2E45"/>
    <w:rsid w:val="005D59A8"/>
    <w:rsid w:val="005E20B1"/>
    <w:rsid w:val="00606B76"/>
    <w:rsid w:val="00612402"/>
    <w:rsid w:val="00672009"/>
    <w:rsid w:val="00686CDB"/>
    <w:rsid w:val="006B11CA"/>
    <w:rsid w:val="006C70CD"/>
    <w:rsid w:val="006F1ABB"/>
    <w:rsid w:val="00717509"/>
    <w:rsid w:val="00722845"/>
    <w:rsid w:val="00744D7A"/>
    <w:rsid w:val="007C0F1B"/>
    <w:rsid w:val="007E06D2"/>
    <w:rsid w:val="00806A03"/>
    <w:rsid w:val="008404CD"/>
    <w:rsid w:val="00870ADD"/>
    <w:rsid w:val="00880D7A"/>
    <w:rsid w:val="008E3027"/>
    <w:rsid w:val="00904D16"/>
    <w:rsid w:val="00912716"/>
    <w:rsid w:val="009258AE"/>
    <w:rsid w:val="00933916"/>
    <w:rsid w:val="009777E8"/>
    <w:rsid w:val="0098341F"/>
    <w:rsid w:val="00983A8A"/>
    <w:rsid w:val="009A1716"/>
    <w:rsid w:val="009B2C02"/>
    <w:rsid w:val="009B3D01"/>
    <w:rsid w:val="009B4CE2"/>
    <w:rsid w:val="009C7277"/>
    <w:rsid w:val="009F1A9B"/>
    <w:rsid w:val="009F62C6"/>
    <w:rsid w:val="00A14BA5"/>
    <w:rsid w:val="00A3224D"/>
    <w:rsid w:val="00A44B24"/>
    <w:rsid w:val="00AB2439"/>
    <w:rsid w:val="00AD2EFA"/>
    <w:rsid w:val="00AE78B1"/>
    <w:rsid w:val="00AE7A0E"/>
    <w:rsid w:val="00B04ABB"/>
    <w:rsid w:val="00B227A0"/>
    <w:rsid w:val="00B36D39"/>
    <w:rsid w:val="00B50FD5"/>
    <w:rsid w:val="00B67014"/>
    <w:rsid w:val="00B72728"/>
    <w:rsid w:val="00B733F0"/>
    <w:rsid w:val="00B90105"/>
    <w:rsid w:val="00B906A6"/>
    <w:rsid w:val="00B95D4A"/>
    <w:rsid w:val="00BC7DD2"/>
    <w:rsid w:val="00BE0DB6"/>
    <w:rsid w:val="00C04DF8"/>
    <w:rsid w:val="00C05B88"/>
    <w:rsid w:val="00C468DE"/>
    <w:rsid w:val="00C46E78"/>
    <w:rsid w:val="00C536FD"/>
    <w:rsid w:val="00CD2C37"/>
    <w:rsid w:val="00D12BEC"/>
    <w:rsid w:val="00D33C77"/>
    <w:rsid w:val="00D467A6"/>
    <w:rsid w:val="00D812B0"/>
    <w:rsid w:val="00D9099A"/>
    <w:rsid w:val="00D9461E"/>
    <w:rsid w:val="00D960FF"/>
    <w:rsid w:val="00DA592E"/>
    <w:rsid w:val="00E04793"/>
    <w:rsid w:val="00E20F39"/>
    <w:rsid w:val="00E236E9"/>
    <w:rsid w:val="00E3628A"/>
    <w:rsid w:val="00E524AC"/>
    <w:rsid w:val="00E52EAF"/>
    <w:rsid w:val="00E709A1"/>
    <w:rsid w:val="00E73335"/>
    <w:rsid w:val="00EE3DEA"/>
    <w:rsid w:val="00F10BB9"/>
    <w:rsid w:val="00F7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48B8"/>
  <w15:docId w15:val="{774976D1-7D38-4C7F-9B3D-F257258C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rsid w:val="0031178A"/>
    <w:pPr>
      <w:keepNext/>
      <w:outlineLvl w:val="0"/>
    </w:pPr>
    <w:rPr>
      <w:rFonts w:ascii="Trebuchet MS" w:hAnsi="Trebuchet MS"/>
      <w:b/>
      <w:color w:val="242F62"/>
      <w:kern w:val="28"/>
      <w:szCs w:val="20"/>
    </w:rPr>
  </w:style>
  <w:style w:type="paragraph" w:styleId="Cmsor2">
    <w:name w:val="heading 2"/>
    <w:basedOn w:val="Norml"/>
    <w:next w:val="Norml"/>
    <w:autoRedefine/>
    <w:qFormat/>
    <w:rsid w:val="00430492"/>
    <w:pPr>
      <w:keepNext/>
      <w:outlineLvl w:val="1"/>
    </w:pPr>
    <w:rPr>
      <w:rFonts w:ascii="Trebuchet MS" w:hAnsi="Trebuchet MS"/>
      <w:bCs/>
      <w:color w:val="242F62"/>
      <w:szCs w:val="20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C379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rsid w:val="00C40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sakszveg">
    <w:name w:val="Plain Text"/>
    <w:basedOn w:val="Norml"/>
    <w:rsid w:val="00B90329"/>
    <w:rPr>
      <w:rFonts w:cs="Courier New"/>
      <w:szCs w:val="20"/>
    </w:rPr>
  </w:style>
  <w:style w:type="character" w:styleId="HTML-rgp">
    <w:name w:val="HTML Typewriter"/>
    <w:basedOn w:val="Bekezdsalapbettpusa"/>
    <w:rsid w:val="003B0CA8"/>
    <w:rPr>
      <w:rFonts w:ascii="Courier New" w:eastAsia="Times New Roman" w:hAnsi="Courier New" w:cs="Courier New"/>
      <w:sz w:val="20"/>
      <w:szCs w:val="20"/>
    </w:rPr>
  </w:style>
  <w:style w:type="paragraph" w:styleId="Szvegtrzs2">
    <w:name w:val="Body Text 2"/>
    <w:basedOn w:val="Norml"/>
    <w:rsid w:val="003B0CA8"/>
    <w:pPr>
      <w:ind w:right="425"/>
      <w:jc w:val="both"/>
    </w:pPr>
  </w:style>
  <w:style w:type="paragraph" w:styleId="lfej">
    <w:name w:val="header"/>
    <w:basedOn w:val="Norml"/>
    <w:link w:val="lfejChar"/>
    <w:rsid w:val="00313E41"/>
    <w:pPr>
      <w:tabs>
        <w:tab w:val="center" w:pos="4536"/>
        <w:tab w:val="right" w:pos="9072"/>
      </w:tabs>
      <w:jc w:val="both"/>
    </w:pPr>
  </w:style>
  <w:style w:type="paragraph" w:styleId="Szvegtrzs">
    <w:name w:val="Body Text"/>
    <w:basedOn w:val="Norml"/>
    <w:rsid w:val="006F354D"/>
    <w:pPr>
      <w:spacing w:after="120"/>
    </w:pPr>
  </w:style>
  <w:style w:type="paragraph" w:styleId="Szvegtrzs3">
    <w:name w:val="Body Text 3"/>
    <w:basedOn w:val="Norml"/>
    <w:rsid w:val="006F354D"/>
    <w:pPr>
      <w:spacing w:after="120"/>
    </w:pPr>
    <w:rPr>
      <w:sz w:val="16"/>
      <w:szCs w:val="16"/>
    </w:rPr>
  </w:style>
  <w:style w:type="character" w:styleId="Hiperhivatkozs">
    <w:name w:val="Hyperlink"/>
    <w:basedOn w:val="Bekezdsalapbettpusa"/>
    <w:uiPriority w:val="99"/>
    <w:rsid w:val="0038025E"/>
    <w:rPr>
      <w:color w:val="0000FF"/>
      <w:u w:val="single"/>
    </w:rPr>
  </w:style>
  <w:style w:type="paragraph" w:styleId="Szvegtrzsbehzssal">
    <w:name w:val="Body Text Indent"/>
    <w:basedOn w:val="Norml"/>
    <w:rsid w:val="009E20A6"/>
    <w:pPr>
      <w:spacing w:after="120"/>
      <w:ind w:left="283"/>
      <w:jc w:val="both"/>
    </w:pPr>
    <w:rPr>
      <w:szCs w:val="20"/>
    </w:rPr>
  </w:style>
  <w:style w:type="table" w:styleId="Rcsostblzat">
    <w:name w:val="Table Grid"/>
    <w:basedOn w:val="Normltblzat"/>
    <w:rsid w:val="009E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"/>
    <w:rsid w:val="00EA2601"/>
    <w:pPr>
      <w:ind w:left="720"/>
    </w:pPr>
  </w:style>
  <w:style w:type="paragraph" w:styleId="llb">
    <w:name w:val="footer"/>
    <w:basedOn w:val="Norml"/>
    <w:rsid w:val="00974AC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4ACD"/>
  </w:style>
  <w:style w:type="paragraph" w:styleId="NormlWeb">
    <w:name w:val="Normal (Web)"/>
    <w:basedOn w:val="Norml"/>
    <w:uiPriority w:val="99"/>
    <w:rsid w:val="00934200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A7199E"/>
    <w:pPr>
      <w:ind w:left="720"/>
      <w:contextualSpacing/>
    </w:pPr>
    <w:rPr>
      <w:rFonts w:eastAsia="Calibri"/>
    </w:rPr>
  </w:style>
  <w:style w:type="paragraph" w:styleId="Szvegtrzsbehzssal2">
    <w:name w:val="Body Text Indent 2"/>
    <w:basedOn w:val="Norml"/>
    <w:rsid w:val="003C1C97"/>
    <w:pPr>
      <w:spacing w:after="120" w:line="480" w:lineRule="auto"/>
      <w:ind w:left="283"/>
    </w:pPr>
  </w:style>
  <w:style w:type="character" w:styleId="Kiemels2">
    <w:name w:val="Strong"/>
    <w:basedOn w:val="Bekezdsalapbettpusa"/>
    <w:uiPriority w:val="22"/>
    <w:qFormat/>
    <w:rsid w:val="00B86B29"/>
    <w:rPr>
      <w:rFonts w:cs="Times New Roman"/>
      <w:b/>
      <w:bCs/>
    </w:rPr>
  </w:style>
  <w:style w:type="paragraph" w:customStyle="1" w:styleId="felsorols1">
    <w:name w:val="felsorolás1"/>
    <w:basedOn w:val="Norml"/>
    <w:rsid w:val="008600F5"/>
    <w:pPr>
      <w:numPr>
        <w:numId w:val="1"/>
      </w:numPr>
      <w:tabs>
        <w:tab w:val="left" w:pos="1134"/>
      </w:tabs>
      <w:spacing w:after="120"/>
      <w:jc w:val="both"/>
    </w:pPr>
    <w:rPr>
      <w:rFonts w:ascii="Arial Narrow" w:hAnsi="Arial Narrow"/>
      <w:szCs w:val="20"/>
    </w:rPr>
  </w:style>
  <w:style w:type="character" w:styleId="Mrltotthiperhivatkozs">
    <w:name w:val="FollowedHyperlink"/>
    <w:basedOn w:val="Bekezdsalapbettpusa"/>
    <w:rsid w:val="003F4227"/>
    <w:rPr>
      <w:color w:val="800080"/>
      <w:u w:val="single"/>
    </w:rPr>
  </w:style>
  <w:style w:type="character" w:styleId="Jegyzethivatkozs">
    <w:name w:val="annotation reference"/>
    <w:basedOn w:val="Bekezdsalapbettpusa"/>
    <w:rsid w:val="00B77FF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77FF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77FFD"/>
  </w:style>
  <w:style w:type="paragraph" w:styleId="Megjegyzstrgya">
    <w:name w:val="annotation subject"/>
    <w:basedOn w:val="Jegyzetszveg"/>
    <w:next w:val="Jegyzetszveg"/>
    <w:link w:val="MegjegyzstrgyaChar"/>
    <w:rsid w:val="00B77F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B77FFD"/>
    <w:rPr>
      <w:b/>
      <w:bCs/>
    </w:rPr>
  </w:style>
  <w:style w:type="paragraph" w:styleId="Buborkszveg">
    <w:name w:val="Balloon Text"/>
    <w:basedOn w:val="Norml"/>
    <w:link w:val="BuborkszvegChar"/>
    <w:rsid w:val="00B77F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77FFD"/>
    <w:rPr>
      <w:rFonts w:ascii="Segoe UI" w:hAnsi="Segoe UI" w:cs="Segoe UI"/>
      <w:sz w:val="18"/>
      <w:szCs w:val="18"/>
    </w:rPr>
  </w:style>
  <w:style w:type="paragraph" w:styleId="Nincstrkz">
    <w:name w:val="No Spacing"/>
    <w:link w:val="NincstrkzChar"/>
    <w:uiPriority w:val="1"/>
    <w:qFormat/>
    <w:rsid w:val="002F34CA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2F34CA"/>
    <w:rPr>
      <w:rFonts w:asciiTheme="minorHAnsi" w:eastAsiaTheme="minorEastAsia" w:hAnsiTheme="minorHAnsi" w:cstheme="minorBidi"/>
      <w:sz w:val="22"/>
      <w:szCs w:val="22"/>
    </w:rPr>
  </w:style>
  <w:style w:type="paragraph" w:styleId="TJ2">
    <w:name w:val="toc 2"/>
    <w:basedOn w:val="Norml"/>
    <w:next w:val="Norml"/>
    <w:autoRedefine/>
    <w:uiPriority w:val="39"/>
    <w:rsid w:val="00CF51CC"/>
    <w:pPr>
      <w:spacing w:after="100"/>
      <w:ind w:left="240"/>
    </w:pPr>
    <w:rPr>
      <w:rFonts w:ascii="Trebuchet MS" w:hAnsi="Trebuchet MS"/>
      <w:color w:val="242F62"/>
      <w:sz w:val="20"/>
    </w:rPr>
  </w:style>
  <w:style w:type="paragraph" w:styleId="TJ1">
    <w:name w:val="toc 1"/>
    <w:basedOn w:val="Norml"/>
    <w:next w:val="Norml"/>
    <w:autoRedefine/>
    <w:uiPriority w:val="39"/>
    <w:rsid w:val="00CF51CC"/>
    <w:pPr>
      <w:spacing w:after="100"/>
    </w:pPr>
    <w:rPr>
      <w:rFonts w:ascii="Trebuchet MS" w:hAnsi="Trebuchet MS"/>
      <w:color w:val="242F62"/>
      <w:sz w:val="20"/>
    </w:rPr>
  </w:style>
  <w:style w:type="paragraph" w:styleId="TJ3">
    <w:name w:val="toc 3"/>
    <w:basedOn w:val="Norml"/>
    <w:next w:val="Norml"/>
    <w:autoRedefine/>
    <w:uiPriority w:val="39"/>
    <w:rsid w:val="00CF51CC"/>
    <w:pPr>
      <w:spacing w:after="100"/>
      <w:ind w:left="480"/>
    </w:pPr>
    <w:rPr>
      <w:rFonts w:ascii="Trebuchet MS" w:hAnsi="Trebuchet MS"/>
      <w:color w:val="242F62"/>
      <w:sz w:val="20"/>
    </w:rPr>
  </w:style>
  <w:style w:type="paragraph" w:styleId="TJ4">
    <w:name w:val="toc 4"/>
    <w:basedOn w:val="Norml"/>
    <w:next w:val="Norml"/>
    <w:autoRedefine/>
    <w:uiPriority w:val="39"/>
    <w:rsid w:val="00CF51CC"/>
    <w:pPr>
      <w:spacing w:after="100"/>
      <w:ind w:left="720"/>
    </w:pPr>
    <w:rPr>
      <w:rFonts w:ascii="Trebuchet MS" w:hAnsi="Trebuchet MS"/>
      <w:color w:val="242F62"/>
    </w:rPr>
  </w:style>
  <w:style w:type="paragraph" w:styleId="TJ5">
    <w:name w:val="toc 5"/>
    <w:basedOn w:val="Norml"/>
    <w:next w:val="Norml"/>
    <w:autoRedefine/>
    <w:uiPriority w:val="39"/>
    <w:unhideWhenUsed/>
    <w:rsid w:val="00EB5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EB5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EB5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EB5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EB5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B2425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873F95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C4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link w:val="Cmsor4"/>
    <w:semiHidden/>
    <w:rsid w:val="00C379E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Kiemels">
    <w:name w:val="Emphasis"/>
    <w:basedOn w:val="Bekezdsalapbettpusa"/>
    <w:uiPriority w:val="20"/>
    <w:qFormat/>
    <w:rsid w:val="00150484"/>
    <w:rPr>
      <w:i/>
      <w:iCs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eloldatlanmegemlts">
    <w:name w:val="Unresolved Mention"/>
    <w:basedOn w:val="Bekezdsalapbettpusa"/>
    <w:uiPriority w:val="99"/>
    <w:semiHidden/>
    <w:unhideWhenUsed/>
    <w:rsid w:val="0021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mmelweis.hu/phd/bemutatkozas/doktori-tanacs/" TargetMode="External"/><Relationship Id="rId18" Type="http://schemas.openxmlformats.org/officeDocument/2006/relationships/hyperlink" Target="https://semmelweis.hu/oktatasmodszertan/" TargetMode="External"/><Relationship Id="rId26" Type="http://schemas.openxmlformats.org/officeDocument/2006/relationships/hyperlink" Target="https://lib.semmelweis.hu/publikacios_utmutato" TargetMode="External"/><Relationship Id="rId39" Type="http://schemas.openxmlformats.org/officeDocument/2006/relationships/hyperlink" Target="https://semmelweis.hu/phd/hallgatoi-szolgaltatasok/coaching/" TargetMode="External"/><Relationship Id="rId21" Type="http://schemas.openxmlformats.org/officeDocument/2006/relationships/hyperlink" Target="https://semmelweis.hu/phd/en/dokumentumtar-en/" TargetMode="External"/><Relationship Id="rId34" Type="http://schemas.openxmlformats.org/officeDocument/2006/relationships/hyperlink" Target="https://semmelweis.hu/kollegiumok/kollegiumok/" TargetMode="External"/><Relationship Id="rId42" Type="http://schemas.openxmlformats.org/officeDocument/2006/relationships/hyperlink" Target="https://semmelweis.hu/phd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semmelweis.hu/phd/bemutatkozas/bizottsagok/velemenyezo-es-minosegellenorzo-bizottsag/" TargetMode="External"/><Relationship Id="rId29" Type="http://schemas.openxmlformats.org/officeDocument/2006/relationships/hyperlink" Target="https://semmelweis.hu/mobilitas/hallgatoknak/" TargetMode="External"/><Relationship Id="rId11" Type="http://schemas.openxmlformats.org/officeDocument/2006/relationships/hyperlink" Target="https://semmelweis.hu/minoseg/bizottsagok/minosegfejlesztesi-tanacs-mt/mt-beszamolok/" TargetMode="External"/><Relationship Id="rId24" Type="http://schemas.openxmlformats.org/officeDocument/2006/relationships/hyperlink" Target="https://lib.semmelweis.hu/" TargetMode="External"/><Relationship Id="rId32" Type="http://schemas.openxmlformats.org/officeDocument/2006/relationships/hyperlink" Target="https://semmelweis.hu/phd/rolunk/doktori-hivatal-es-gazdasagi-hivatal/" TargetMode="External"/><Relationship Id="rId37" Type="http://schemas.openxmlformats.org/officeDocument/2006/relationships/hyperlink" Target="https://semmelweis.hu/phd/hallgatoi-szolgaltatasok/diak-es-eletvezetesi-tanacsado-szolgalat/" TargetMode="External"/><Relationship Id="rId40" Type="http://schemas.openxmlformats.org/officeDocument/2006/relationships/hyperlink" Target="https://semmelweis.hu/phd/hallgatoknak/palyazatok-osztondijak/" TargetMode="External"/><Relationship Id="rId45" Type="http://schemas.openxmlformats.org/officeDocument/2006/relationships/hyperlink" Target="https://semmelweis.hu/minose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mmelweis.hu/bizottsagok/allando-bizottsagok/egyetem-egeszere-feladat-es-hataskorrel-rendelkezo-bizottsagok/minosegfejlesztesi-es-minosegertekelo-bizottsag/" TargetMode="External"/><Relationship Id="rId23" Type="http://schemas.openxmlformats.org/officeDocument/2006/relationships/hyperlink" Target="https://doktori.hu/" TargetMode="External"/><Relationship Id="rId28" Type="http://schemas.openxmlformats.org/officeDocument/2006/relationships/hyperlink" Target="https://semmelweis.hu/phd/" TargetMode="External"/><Relationship Id="rId36" Type="http://schemas.openxmlformats.org/officeDocument/2006/relationships/hyperlink" Target="https://semmelweis.hu/sportkozpon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emmelweis.hu/az-egyetemrol/az-egyetem-bemutatasa/a-semmelweis-egyetem-strategiaja/" TargetMode="External"/><Relationship Id="rId19" Type="http://schemas.openxmlformats.org/officeDocument/2006/relationships/hyperlink" Target="https://semmelweis.hu/jogigfoig/dokumentumtar/szabalyzattar/szervezeti-es-mukodesi-szabalyzat/iii-konyv-hkr/" TargetMode="External"/><Relationship Id="rId31" Type="http://schemas.openxmlformats.org/officeDocument/2006/relationships/hyperlink" Target="https://semmelweis.hu/phd/hallgatoi-szolgaltatasok/ugyfelfogadas-a-titkarsagon/" TargetMode="External"/><Relationship Id="rId44" Type="http://schemas.openxmlformats.org/officeDocument/2006/relationships/hyperlink" Target="https://www.mab.h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emmelweis.hu/az-egyetemrol/semmelweis-egyetem-minosegiranyitasi-rendszer/" TargetMode="External"/><Relationship Id="rId14" Type="http://schemas.openxmlformats.org/officeDocument/2006/relationships/hyperlink" Target="https://semmelweis.hu/dok/" TargetMode="External"/><Relationship Id="rId22" Type="http://schemas.openxmlformats.org/officeDocument/2006/relationships/hyperlink" Target="https://semmelweis.hu/phd/doktori-titkarsag/" TargetMode="External"/><Relationship Id="rId27" Type="http://schemas.openxmlformats.org/officeDocument/2006/relationships/hyperlink" Target="https://lib.semmelweis.hu/oktatas" TargetMode="External"/><Relationship Id="rId30" Type="http://schemas.openxmlformats.org/officeDocument/2006/relationships/hyperlink" Target="https://semmelweis.hu/phd/hallgatoknak/hallgatoi-szolgaltatasok/" TargetMode="External"/><Relationship Id="rId35" Type="http://schemas.openxmlformats.org/officeDocument/2006/relationships/hyperlink" Target="https://semmelweis.hu/selye/" TargetMode="External"/><Relationship Id="rId43" Type="http://schemas.openxmlformats.org/officeDocument/2006/relationships/hyperlink" Target="https://semmelweis.hu/az-egyetemrol/semmelweis-egyetem-minosegiranyitasi-rendszer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semmelweis.hu/bizottsagok/allando-bizottsagok/egyetem-egeszere-feladat-es-hataskorrel-rendelkezo-bizottsagok/minosegfejlesztesi-tanacs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lib.semmelweis.hu/open_access_tamogatas" TargetMode="External"/><Relationship Id="rId33" Type="http://schemas.openxmlformats.org/officeDocument/2006/relationships/hyperlink" Target="https://semmelweis.hu/szaknyelv/oktatas/phd-hallgatoknak/" TargetMode="External"/><Relationship Id="rId38" Type="http://schemas.openxmlformats.org/officeDocument/2006/relationships/hyperlink" Target="https://semmelweis.hu/phd/hallgatoi-szolgaltatasok/kutatasmenedzsment-munkacsoport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semmelweis.hu/phd/dokumentumok/szabalyzatok/" TargetMode="External"/><Relationship Id="rId41" Type="http://schemas.openxmlformats.org/officeDocument/2006/relationships/hyperlink" Target="https://semmelweis.hu/alumn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+sucD/Uoc1Gn6KrmzdjpX7z5cg==">AMUW2mVVJ+mzuiE/hBBKAkGRwwtGvJDnohCUV0imr6KLRaF7oNqFzPIczvoHHGK7ATF3ZZNUGnVsHvK5mn/7sTPG50TSvyADCTeCAWuWLAaoX8ZQAOkmZTO/j1TB25h1isQ1/eGbPzvPYt9HPZ6RYaV7UPo6Y0SROEriQAUC7MuI1vVZnMApC62iQ5444IP/ijZUgo4GCzdHHYh47LhkC92VDCV0dsuRbdvJaw63UDQnujpEZ6JMUnPPizP0MeOOOInikO3UACOReGFwAZPxCxsKOk/QIC2fu5D6/URmXolrvQ06V/m8ZUQxHticlUknyEBK0Y1BovFED9ycKRiYmsFs4ZyitSkpTQ==</go:docsCustomData>
</go:gDocsCustomXmlDataStorage>
</file>

<file path=customXml/itemProps1.xml><?xml version="1.0" encoding="utf-8"?>
<ds:datastoreItem xmlns:ds="http://schemas.openxmlformats.org/officeDocument/2006/customXml" ds:itemID="{52D16360-E596-4998-AFB8-D3BE57C58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26</Pages>
  <Words>5637</Words>
  <Characters>38898</Characters>
  <Application>Microsoft Office Word</Application>
  <DocSecurity>0</DocSecurity>
  <Lines>324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Anikó</dc:creator>
  <cp:lastModifiedBy>Horváth Anikó (osztályvezető)</cp:lastModifiedBy>
  <cp:revision>28</cp:revision>
  <dcterms:created xsi:type="dcterms:W3CDTF">2026-01-02T11:19:00Z</dcterms:created>
  <dcterms:modified xsi:type="dcterms:W3CDTF">2026-01-14T10:50:00Z</dcterms:modified>
</cp:coreProperties>
</file>