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4437" w14:textId="77777777" w:rsidR="00744C19" w:rsidRPr="00043F5A" w:rsidRDefault="00744C19">
      <w:pPr>
        <w:rPr>
          <w:rFonts w:ascii="Times New Roman" w:hAnsi="Times New Roman" w:cs="Times New Roman"/>
          <w:lang w:val="en-US"/>
        </w:rPr>
      </w:pPr>
    </w:p>
    <w:p w14:paraId="08045D78" w14:textId="77777777" w:rsidR="00744C19" w:rsidRPr="00043F5A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Complex Examination Topic Lists</w:t>
      </w:r>
    </w:p>
    <w:p w14:paraId="2A82838A" w14:textId="77777777" w:rsidR="00744C19" w:rsidRPr="00043F5A" w:rsidRDefault="00744C19" w:rsidP="0074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b/>
          <w:bCs/>
          <w:sz w:val="24"/>
          <w:szCs w:val="24"/>
          <w:lang w:val="en-US"/>
        </w:rPr>
        <w:t>Effective from: 01 January 2025 until revoked</w:t>
      </w:r>
    </w:p>
    <w:p w14:paraId="6BFCFF6A" w14:textId="212DBB78" w:rsidR="00744C19" w:rsidRPr="00043F5A" w:rsidRDefault="00744C19" w:rsidP="00744C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DF8299" w14:textId="4360171C" w:rsidR="00744C19" w:rsidRPr="00043F5A" w:rsidRDefault="00744C19" w:rsidP="00744C1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43F5A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 of the Doctoral Division:</w:t>
      </w:r>
      <w:r w:rsidR="00D529D4" w:rsidRPr="00043F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22663" w:rsidRPr="00043F5A">
        <w:rPr>
          <w:rFonts w:ascii="Times New Roman" w:hAnsi="Times New Roman" w:cs="Times New Roman"/>
          <w:b/>
          <w:bCs/>
          <w:sz w:val="28"/>
          <w:szCs w:val="28"/>
          <w:lang w:val="en-US"/>
        </w:rPr>
        <w:t>Heal</w:t>
      </w:r>
      <w:r w:rsidR="00D529D4" w:rsidRPr="00043F5A">
        <w:rPr>
          <w:rFonts w:ascii="Times New Roman" w:hAnsi="Times New Roman" w:cs="Times New Roman"/>
          <w:b/>
          <w:bCs/>
          <w:sz w:val="28"/>
          <w:szCs w:val="28"/>
          <w:lang w:val="en-US"/>
        </w:rPr>
        <w:t>th Sciences Division</w:t>
      </w:r>
    </w:p>
    <w:p w14:paraId="591BE7C4" w14:textId="77777777" w:rsidR="00D529D4" w:rsidRPr="00043F5A" w:rsidRDefault="00D529D4" w:rsidP="00744C1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E4E4B7" w14:textId="597A8ED7" w:rsidR="00D529D4" w:rsidRPr="00043F5A" w:rsidRDefault="00D529D4" w:rsidP="00D52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3F5A">
        <w:rPr>
          <w:rFonts w:ascii="Times New Roman" w:hAnsi="Times New Roman" w:cs="Times New Roman"/>
          <w:b/>
          <w:sz w:val="28"/>
          <w:szCs w:val="28"/>
          <w:lang w:val="en-US"/>
        </w:rPr>
        <w:t>Program 1. and 2.</w:t>
      </w:r>
    </w:p>
    <w:p w14:paraId="026B4803" w14:textId="77777777" w:rsidR="00744C19" w:rsidRPr="00043F5A" w:rsidRDefault="00744C19" w:rsidP="00744C1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6D2C3F" w14:textId="59147F7A" w:rsidR="00744C19" w:rsidRPr="00043F5A" w:rsidRDefault="00744C19" w:rsidP="00744C1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43F5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Major Subjects:</w:t>
      </w:r>
    </w:p>
    <w:p w14:paraId="3572C649" w14:textId="77777777" w:rsidR="007E483E" w:rsidRDefault="007E483E" w:rsidP="00D529D4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92FDC70" w14:textId="52F8FF9B" w:rsidR="00D529D4" w:rsidRPr="007E483E" w:rsidRDefault="00D529D4" w:rsidP="00D529D4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Anatomy:</w:t>
      </w:r>
    </w:p>
    <w:p w14:paraId="7C287725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Bones and joints of the shoulder joint</w:t>
      </w:r>
    </w:p>
    <w:p w14:paraId="376FCB11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Bones and joints of the elbow joint</w:t>
      </w:r>
    </w:p>
    <w:p w14:paraId="56CE1222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Bones and joints of the wrist joint</w:t>
      </w:r>
    </w:p>
    <w:p w14:paraId="3A9A7CB7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Bones and joints of the hip joint</w:t>
      </w:r>
    </w:p>
    <w:p w14:paraId="53AF5491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Bones and joints of the knee joint</w:t>
      </w:r>
    </w:p>
    <w:p w14:paraId="084C2196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Bones and joints of the upper and lower ankle joint</w:t>
      </w:r>
    </w:p>
    <w:p w14:paraId="6BB121F9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Anatomical course and function of the muscles moving the shoulder joint</w:t>
      </w:r>
    </w:p>
    <w:p w14:paraId="05714D4A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Anatomical course and function of the muscles moving the elbow joint</w:t>
      </w:r>
    </w:p>
    <w:p w14:paraId="66AEBEDC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Anatomical course and function of the muscles moving the wrist joint</w:t>
      </w:r>
    </w:p>
    <w:p w14:paraId="58DCF9DA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Anatomical course and function of the muscles moving the hip joint</w:t>
      </w:r>
    </w:p>
    <w:p w14:paraId="306A0AAB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Anatomical course and function of the muscles moving the knee joint</w:t>
      </w:r>
    </w:p>
    <w:p w14:paraId="6F28203A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Anatomical course and function of the muscles moving the upper and lower ankle joint</w:t>
      </w:r>
    </w:p>
    <w:p w14:paraId="716956AA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Anatomy of the spine – bones and joints</w:t>
      </w:r>
    </w:p>
    <w:p w14:paraId="712EB2DD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Anatomical course and function of the muscles stabilizing and moving the trunk</w:t>
      </w:r>
    </w:p>
    <w:p w14:paraId="2790B2E9" w14:textId="77777777" w:rsidR="00D529D4" w:rsidRPr="00043F5A" w:rsidRDefault="00D529D4" w:rsidP="00643377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 of quantitative research design</w:t>
      </w:r>
    </w:p>
    <w:p w14:paraId="15473CB0" w14:textId="727DA449" w:rsidR="00744C19" w:rsidRPr="00043F5A" w:rsidRDefault="00744C19" w:rsidP="00744C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913B09" w14:textId="77777777" w:rsidR="00D529D4" w:rsidRPr="007E483E" w:rsidRDefault="00D529D4" w:rsidP="00D529D4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Physiology:</w:t>
      </w:r>
    </w:p>
    <w:p w14:paraId="20927F6B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Homeostasis and allostasis</w:t>
      </w:r>
    </w:p>
    <w:p w14:paraId="2F2EF9B9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Blood and hematopoiesis</w:t>
      </w:r>
    </w:p>
    <w:p w14:paraId="382EFD7B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Structure and function of the immune system: cellular and humoral immunity, complement systems</w:t>
      </w:r>
    </w:p>
    <w:p w14:paraId="7DBF3843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 and function of the heart and circulation, regulation of circulation</w:t>
      </w:r>
    </w:p>
    <w:p w14:paraId="2BDE67B7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 and function of the digestive system: nutrients, regulation of food intake, digestion, absorption</w:t>
      </w:r>
    </w:p>
    <w:p w14:paraId="0E3D973F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 and function of the respiratory system: gas exchange, respiratory movements</w:t>
      </w:r>
    </w:p>
    <w:p w14:paraId="6BE01577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Excretory system: structure and function of the nephron, glomerular filtration, regulation of fluid and electrolyte balance, function of the urinary system, regulation of acid-base balance</w:t>
      </w:r>
    </w:p>
    <w:p w14:paraId="0EA45E4F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 and function of the endocrine system: hypothalamus and pituitary, thyroid, parathyroid, adrenal glands, reproductive system</w:t>
      </w:r>
    </w:p>
    <w:p w14:paraId="52C2BBB7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Sexual differentiation: genetic, gonadal, genital, and psychosexual sex; genetic, immunological, and epigenetic background and models of psychosexual identity</w:t>
      </w:r>
    </w:p>
    <w:p w14:paraId="13A82C1B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Structure and function of the nervous system, elementary neural phenomena</w:t>
      </w:r>
    </w:p>
    <w:p w14:paraId="35B0CC5E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Sensory and motor functions</w:t>
      </w:r>
    </w:p>
    <w:p w14:paraId="5A9D13B4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Autonomic nervous system</w:t>
      </w:r>
    </w:p>
    <w:p w14:paraId="5709CD43" w14:textId="77777777" w:rsidR="00D529D4" w:rsidRPr="00043F5A" w:rsidRDefault="00D529D4" w:rsidP="00643377">
      <w:pPr>
        <w:pStyle w:val="Listaszerbekezds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 of quantitative research design</w:t>
      </w:r>
    </w:p>
    <w:p w14:paraId="76CA38FC" w14:textId="77777777" w:rsidR="00D529D4" w:rsidRPr="00043F5A" w:rsidRDefault="00D529D4" w:rsidP="00D529D4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294D2B1" w14:textId="480EB1DD" w:rsidR="00D529D4" w:rsidRPr="007E483E" w:rsidRDefault="00D529D4" w:rsidP="00D529D4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Pathology:</w:t>
      </w:r>
    </w:p>
    <w:p w14:paraId="3263AD83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of blood and hematopoiesis, thrombosis</w:t>
      </w:r>
    </w:p>
    <w:p w14:paraId="350452EE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of the immune system, especially autoimmune diseases</w:t>
      </w:r>
    </w:p>
    <w:p w14:paraId="01EE5439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of the cardiovascular system, especially ischemic heart disease</w:t>
      </w:r>
    </w:p>
    <w:p w14:paraId="2F21C76E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of the digestive system, especially inflammatory bowel diseases, liver and pancreas diseases</w:t>
      </w:r>
    </w:p>
    <w:p w14:paraId="3DEC8DB2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of the respiratory system, especially disorders affecting gas exchange</w:t>
      </w:r>
    </w:p>
    <w:p w14:paraId="3704C220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and therapies of the excretory system</w:t>
      </w:r>
    </w:p>
    <w:p w14:paraId="4C982502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of the endocrine system, with special attention to common diseases and their development</w:t>
      </w:r>
    </w:p>
    <w:p w14:paraId="03D0A056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Neurodegenerative diseases: prevention, diagnosis, treatment options, prognosis</w:t>
      </w:r>
    </w:p>
    <w:p w14:paraId="75A3B837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Pathology of the musculoskeletal system</w:t>
      </w:r>
    </w:p>
    <w:p w14:paraId="24DEFFEE" w14:textId="77777777" w:rsidR="00D529D4" w:rsidRPr="00043F5A" w:rsidRDefault="00D529D4" w:rsidP="00643377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 of quantitative research design</w:t>
      </w:r>
    </w:p>
    <w:p w14:paraId="58316B94" w14:textId="77777777" w:rsidR="00D529D4" w:rsidRPr="00043F5A" w:rsidRDefault="00D529D4" w:rsidP="00744C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25ADC2" w14:textId="77777777" w:rsidR="00935C13" w:rsidRPr="007E483E" w:rsidRDefault="00935C13" w:rsidP="00935C13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Radiology:</w:t>
      </w:r>
    </w:p>
    <w:p w14:paraId="4687B0C9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Imaging diagnostic modalities and their applications</w:t>
      </w:r>
    </w:p>
    <w:p w14:paraId="5E95E988" w14:textId="77777777" w:rsidR="00935C13" w:rsidRPr="00043F5A" w:rsidRDefault="00935C13" w:rsidP="00643377">
      <w:pPr>
        <w:pStyle w:val="Listaszerbekezds"/>
        <w:numPr>
          <w:ilvl w:val="1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Diagnostic procedures involving ionizing radiation (conventional X-ray, fluoroscopy, CT, mammography, </w:t>
      </w:r>
      <w:proofErr w:type="spellStart"/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osteodensitometry</w:t>
      </w:r>
      <w:proofErr w:type="spellEnd"/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(DEXA), nuclear medicine and isotope diagnostics)</w:t>
      </w:r>
    </w:p>
    <w:p w14:paraId="382CF06E" w14:textId="77777777" w:rsidR="00935C13" w:rsidRPr="00043F5A" w:rsidRDefault="00935C13" w:rsidP="00643377">
      <w:pPr>
        <w:pStyle w:val="Listaszerbekezds"/>
        <w:numPr>
          <w:ilvl w:val="1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Diagnostic procedures not involving ionizing radiation (MRI, ultrasound diagnostics)</w:t>
      </w:r>
    </w:p>
    <w:p w14:paraId="2F1086A0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Non-invasive imaging</w:t>
      </w:r>
    </w:p>
    <w:p w14:paraId="280979B9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Invasive imaging</w:t>
      </w:r>
    </w:p>
    <w:p w14:paraId="0E8F80A2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Imaging modalities involving radiation exposure (X-ray, CT, mammography, DEXA, isotope diagnostics)</w:t>
      </w:r>
    </w:p>
    <w:p w14:paraId="324672D6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Contrast agents and their applications (CT and MRI contrast agents – indications, contraindications, complications; ultrasound contrast agents)</w:t>
      </w:r>
    </w:p>
    <w:p w14:paraId="53B0471F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Basics of ultrasound methods (A-mode, B-mode, Doppler)</w:t>
      </w:r>
    </w:p>
    <w:p w14:paraId="2CA53FC3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Basics of ultrasound methods (elastography, contrast-enhanced examinations)</w:t>
      </w:r>
    </w:p>
    <w:p w14:paraId="5A8BEAF6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Ultrasound-guided interventions</w:t>
      </w:r>
    </w:p>
    <w:p w14:paraId="44C1D860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Ultrasound-guided ablations</w:t>
      </w:r>
    </w:p>
    <w:p w14:paraId="5B96C220" w14:textId="77777777" w:rsidR="00935C13" w:rsidRPr="00043F5A" w:rsidRDefault="00935C13" w:rsidP="00643377">
      <w:pPr>
        <w:pStyle w:val="Listaszerbekezds"/>
        <w:numPr>
          <w:ilvl w:val="0"/>
          <w:numId w:val="4"/>
        </w:numPr>
        <w:spacing w:after="120" w:line="240" w:lineRule="auto"/>
        <w:ind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 of quantitative research design</w:t>
      </w:r>
    </w:p>
    <w:p w14:paraId="23A8B43B" w14:textId="77777777" w:rsidR="00935C13" w:rsidRPr="00043F5A" w:rsidRDefault="00935C13" w:rsidP="00744C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921CA5" w14:textId="77777777" w:rsidR="00935C13" w:rsidRPr="007E483E" w:rsidRDefault="00935C13" w:rsidP="00935C13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Internal Medicine – Gastroenterology:</w:t>
      </w:r>
    </w:p>
    <w:p w14:paraId="1361B884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Gastroesophageal reflux disease</w:t>
      </w:r>
    </w:p>
    <w:p w14:paraId="26F059E0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Gastroduodenal ulcer disease and gastroduodenitis</w:t>
      </w:r>
    </w:p>
    <w:p w14:paraId="6DB4A982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Celiac disease and malabsorption disorders</w:t>
      </w:r>
    </w:p>
    <w:p w14:paraId="46D7D6D7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Food allergies and intolerances</w:t>
      </w:r>
    </w:p>
    <w:p w14:paraId="6159BE42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Ulcerative colitis</w:t>
      </w:r>
    </w:p>
    <w:p w14:paraId="4AE4E71B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Crohn’s disease</w:t>
      </w:r>
    </w:p>
    <w:p w14:paraId="4A82DDAF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Irritable bowel syndrome (IBS)</w:t>
      </w:r>
    </w:p>
    <w:p w14:paraId="197F6B7A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Functional gastrointestinal disorders</w:t>
      </w:r>
    </w:p>
    <w:p w14:paraId="484AE62F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Gallstone disease (cholecystolithiasis, choledocholithiasis)</w:t>
      </w:r>
    </w:p>
    <w:p w14:paraId="7C6D821F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Acute and chronic pancreatitis</w:t>
      </w:r>
    </w:p>
    <w:p w14:paraId="1025D26E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Non-alcoholic steatohepatitis, alcoholic liver disease, chronic viral hepatitis (HBV, HCV), liver cirrhosis</w:t>
      </w:r>
    </w:p>
    <w:p w14:paraId="1606807C" w14:textId="77777777" w:rsidR="00935C13" w:rsidRPr="00043F5A" w:rsidRDefault="00935C13" w:rsidP="00643377">
      <w:pPr>
        <w:pStyle w:val="Listaszerbekezds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 of quantitative research design</w:t>
      </w:r>
    </w:p>
    <w:p w14:paraId="349AE821" w14:textId="77777777" w:rsidR="00616957" w:rsidRDefault="00616957" w:rsidP="00935C13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506F59F" w14:textId="77777777" w:rsidR="007E483E" w:rsidRPr="00043F5A" w:rsidRDefault="007E483E" w:rsidP="00935C13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3708B6D" w14:textId="6A114BEE" w:rsidR="00935C13" w:rsidRPr="007E483E" w:rsidRDefault="00935C13" w:rsidP="00935C13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lastRenderedPageBreak/>
        <w:t>Ophthalmology:</w:t>
      </w:r>
    </w:p>
    <w:p w14:paraId="4FA1A6F1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Physiology of vision</w:t>
      </w:r>
    </w:p>
    <w:p w14:paraId="078E5D4C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Pathology of </w:t>
      </w:r>
      <w:proofErr w:type="gramStart"/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vision</w:t>
      </w:r>
      <w:proofErr w:type="gramEnd"/>
    </w:p>
    <w:p w14:paraId="7B9DD5BE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Diseases of the anterior segment (cornea, lens, conjunctiva)</w:t>
      </w:r>
    </w:p>
    <w:p w14:paraId="711DCF82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Diseases of the posterior segment</w:t>
      </w:r>
    </w:p>
    <w:p w14:paraId="1FAEA73D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Glaucoma</w:t>
      </w:r>
    </w:p>
    <w:p w14:paraId="0A529020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Pediatric ophthalmologic conditions</w:t>
      </w:r>
    </w:p>
    <w:p w14:paraId="1C6FE19C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Biochemical abnormalities and degenerative diseases of the lens</w:t>
      </w:r>
    </w:p>
    <w:p w14:paraId="0B2EEA2D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Relationship between visual and nervous system disorders (neuro-ophthalmology)</w:t>
      </w:r>
    </w:p>
    <w:p w14:paraId="21DA8549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Treatment of corneal infections</w:t>
      </w:r>
    </w:p>
    <w:p w14:paraId="5737F931" w14:textId="77777777" w:rsidR="00935C13" w:rsidRPr="00043F5A" w:rsidRDefault="00935C13" w:rsidP="00643377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Methodology of quantitative research design</w:t>
      </w:r>
    </w:p>
    <w:p w14:paraId="57CC2A3D" w14:textId="77777777" w:rsidR="00935C13" w:rsidRPr="00043F5A" w:rsidRDefault="00935C13" w:rsidP="00744C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E547BA" w14:textId="77777777" w:rsidR="00935C13" w:rsidRPr="007E483E" w:rsidRDefault="00935C13" w:rsidP="00935C13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Pediatrics:</w:t>
      </w:r>
    </w:p>
    <w:p w14:paraId="01FD6D7C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Characteristics of a healthy newborn</w:t>
      </w:r>
    </w:p>
    <w:p w14:paraId="725DE963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Characteristics of premature infants</w:t>
      </w:r>
    </w:p>
    <w:p w14:paraId="17CF75C7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Congenital developmental disorders</w:t>
      </w:r>
    </w:p>
    <w:p w14:paraId="0CE6129C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Pseudocroup</w:t>
      </w:r>
    </w:p>
    <w:p w14:paraId="7164B0CD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Childhood respiratory diseases</w:t>
      </w:r>
    </w:p>
    <w:p w14:paraId="3EDFA946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Surgical and medical causes of abdominal pain</w:t>
      </w:r>
    </w:p>
    <w:p w14:paraId="256DC590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Malabsorption</w:t>
      </w:r>
    </w:p>
    <w:p w14:paraId="7F40E4B3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Urinary tract infection</w:t>
      </w:r>
    </w:p>
    <w:p w14:paraId="77929A7D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Proteinuria</w:t>
      </w:r>
    </w:p>
    <w:p w14:paraId="4E3DAA2A" w14:textId="77777777" w:rsidR="00935C13" w:rsidRPr="00043F5A" w:rsidRDefault="00935C13" w:rsidP="00643377">
      <w:pPr>
        <w:pStyle w:val="Listaszerbekezds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color w:val="000000"/>
          <w:sz w:val="24"/>
          <w:szCs w:val="24"/>
          <w:lang w:val="en-US"/>
        </w:rPr>
        <w:t>Epilepsy</w:t>
      </w:r>
    </w:p>
    <w:p w14:paraId="42C6AF84" w14:textId="77777777" w:rsidR="00935C13" w:rsidRPr="00043F5A" w:rsidRDefault="00935C13" w:rsidP="00744C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59F1D0" w14:textId="77777777" w:rsidR="00935C13" w:rsidRPr="00043F5A" w:rsidRDefault="00935C13" w:rsidP="00935C13">
      <w:pPr>
        <w:spacing w:after="12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E48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Health Sciences</w:t>
      </w:r>
      <w:r w:rsidRPr="00043F5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043F5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(At least 10 topics must be selected):</w:t>
      </w:r>
    </w:p>
    <w:p w14:paraId="439E5A81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1.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043F5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Concepts and definitions of health and disease in different health science paradigms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(Bio-psycho-social model of health, WHO definition of health, alternative approaches)</w:t>
      </w:r>
    </w:p>
    <w:p w14:paraId="2D02EB92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2. Epidemiology and prevention of chronic diseases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(Prevalence of chronic diseases globally and locally, identification of risk factors, prevention strategies)</w:t>
      </w:r>
    </w:p>
    <w:p w14:paraId="6413F84F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3. Methodology of health promotion and health education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(Community health promotion, individual level health promotion, design of education strategies and programs)</w:t>
      </w:r>
    </w:p>
    <w:p w14:paraId="6D29D858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4. The relationship between mental health and psychosocial health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(The impact of stress on health, psychosocial factors and their role in the development of illness, treatment of mental illness)</w:t>
      </w:r>
    </w:p>
    <w:p w14:paraId="795DAC84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5. Health systems and their efficiency in different countries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(Financing of health systems, accessibility and quality of health care in different countries)</w:t>
      </w:r>
    </w:p>
    <w:p w14:paraId="19B02A3C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6. The role of lifestyle in maintaining health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(The impact of diet, physical activity, sleep and other lifestyle factors on health)</w:t>
      </w:r>
    </w:p>
    <w:p w14:paraId="1650F107" w14:textId="77777777" w:rsidR="00935C13" w:rsidRPr="00043F5A" w:rsidRDefault="00935C13" w:rsidP="00643377">
      <w:p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7. Principles and current challenges of epidemiology and public health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(Prevention and control of infectious diseases, strategies of epidemiology, lessons learned from COVID-19)</w:t>
      </w:r>
    </w:p>
    <w:p w14:paraId="3A3B59FB" w14:textId="77777777" w:rsidR="00935C13" w:rsidRPr="00043F5A" w:rsidRDefault="00935C13" w:rsidP="00643377">
      <w:p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8. Strategies to address and reduce health inequalities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(The relationship between socio-economic status and health status, equal access to health care, discrimination in health care)</w:t>
      </w:r>
    </w:p>
    <w:p w14:paraId="11F7D41E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9. Research methodology in health sciences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(Design, conduct, data collection and analysis of clinical and social science studies)</w:t>
      </w:r>
    </w:p>
    <w:p w14:paraId="6B9145E2" w14:textId="77777777" w:rsidR="00935C13" w:rsidRPr="00043F5A" w:rsidRDefault="00935C13" w:rsidP="00643377">
      <w:pPr>
        <w:pStyle w:val="NormlWeb"/>
        <w:spacing w:before="0" w:beforeAutospacing="0" w:after="120" w:afterAutospacing="0"/>
        <w:jc w:val="both"/>
        <w:rPr>
          <w:color w:val="222222"/>
          <w:shd w:val="clear" w:color="auto" w:fill="FFFFFF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>10. Ethical questions of research in health sciences:</w:t>
      </w:r>
      <w:r w:rsidRPr="00043F5A">
        <w:rPr>
          <w:color w:val="121512"/>
          <w:lang w:val="en-US"/>
        </w:rPr>
        <w:t xml:space="preserve"> Discuss ethical issues in research and how to address them (ethical issues, ethical approvals and good practices) </w:t>
      </w:r>
    </w:p>
    <w:p w14:paraId="3F32D7C7" w14:textId="77777777" w:rsidR="00935C13" w:rsidRPr="00043F5A" w:rsidRDefault="00935C13" w:rsidP="00643377">
      <w:pPr>
        <w:pStyle w:val="NormlWeb"/>
        <w:spacing w:before="0" w:beforeAutospacing="0" w:after="120" w:afterAutospacing="0"/>
        <w:jc w:val="both"/>
        <w:rPr>
          <w:color w:val="121512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>11. Using quantitative research methods. Statistical analysis and data management</w:t>
      </w:r>
      <w:r w:rsidRPr="00043F5A">
        <w:rPr>
          <w:color w:val="121512"/>
          <w:lang w:val="en-US"/>
        </w:rPr>
        <w:t xml:space="preserve">: describe the </w:t>
      </w:r>
      <w:proofErr w:type="gramStart"/>
      <w:r w:rsidRPr="00043F5A">
        <w:rPr>
          <w:color w:val="121512"/>
          <w:lang w:val="en-US"/>
        </w:rPr>
        <w:t>most commonly used</w:t>
      </w:r>
      <w:proofErr w:type="gramEnd"/>
      <w:r w:rsidRPr="00043F5A">
        <w:rPr>
          <w:color w:val="121512"/>
          <w:lang w:val="en-US"/>
        </w:rPr>
        <w:t xml:space="preserve"> statistical analysis techniques (e.g. analysis of variance, regression) and data management methods in health research</w:t>
      </w:r>
    </w:p>
    <w:p w14:paraId="1C8CBDB2" w14:textId="77777777" w:rsidR="00935C13" w:rsidRPr="00043F5A" w:rsidRDefault="00935C13" w:rsidP="00643377">
      <w:pPr>
        <w:pStyle w:val="NormlWeb"/>
        <w:spacing w:before="0" w:beforeAutospacing="0" w:after="120" w:afterAutospacing="0"/>
        <w:jc w:val="both"/>
        <w:rPr>
          <w:color w:val="121512"/>
          <w:shd w:val="clear" w:color="auto" w:fill="FFFFFF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 xml:space="preserve">12. Using qualitative research methods in health sciences: </w:t>
      </w:r>
      <w:r w:rsidRPr="00043F5A">
        <w:rPr>
          <w:color w:val="121512"/>
          <w:shd w:val="clear" w:color="auto" w:fill="FFFFFF"/>
          <w:lang w:val="en-US"/>
        </w:rPr>
        <w:t>Discuss the role and benefits of qualitative research methods (e.g. interviews, focus groups)</w:t>
      </w:r>
    </w:p>
    <w:p w14:paraId="5E560551" w14:textId="77777777" w:rsidR="00935C13" w:rsidRPr="00043F5A" w:rsidRDefault="00935C13" w:rsidP="00643377">
      <w:pPr>
        <w:pStyle w:val="NormlWeb"/>
        <w:spacing w:before="0" w:beforeAutospacing="0" w:after="120" w:afterAutospacing="0"/>
        <w:jc w:val="both"/>
        <w:rPr>
          <w:color w:val="121512"/>
          <w:lang w:val="en-US"/>
        </w:rPr>
      </w:pPr>
      <w:r w:rsidRPr="00043F5A">
        <w:rPr>
          <w:b/>
          <w:bCs/>
          <w:color w:val="121512"/>
          <w:shd w:val="clear" w:color="auto" w:fill="FFFFFF"/>
          <w:lang w:val="en-US"/>
        </w:rPr>
        <w:t>13.</w:t>
      </w:r>
      <w:r w:rsidRPr="00043F5A">
        <w:rPr>
          <w:color w:val="121512"/>
          <w:shd w:val="clear" w:color="auto" w:fill="FFFFFF"/>
          <w:lang w:val="en-US"/>
        </w:rPr>
        <w:t xml:space="preserve"> </w:t>
      </w:r>
      <w:r w:rsidRPr="00043F5A">
        <w:rPr>
          <w:rStyle w:val="Kiemels2"/>
          <w:rFonts w:eastAsiaTheme="majorEastAsia"/>
          <w:color w:val="121512"/>
          <w:lang w:val="en-US"/>
        </w:rPr>
        <w:t xml:space="preserve">Publication strategies in health sciences: </w:t>
      </w:r>
      <w:r w:rsidRPr="00043F5A">
        <w:rPr>
          <w:color w:val="121512"/>
          <w:lang w:val="en-US"/>
        </w:rPr>
        <w:t>Explain the importance of effective publication strategies, including the selection of targeted journals, the peer-review process, and dissemination of research results</w:t>
      </w:r>
    </w:p>
    <w:p w14:paraId="2516E259" w14:textId="77777777" w:rsidR="00935C13" w:rsidRPr="00043F5A" w:rsidRDefault="00935C13" w:rsidP="00643377">
      <w:pPr>
        <w:pStyle w:val="NormlWeb"/>
        <w:spacing w:before="0" w:beforeAutospacing="0" w:after="120" w:afterAutospacing="0"/>
        <w:jc w:val="both"/>
        <w:rPr>
          <w:color w:val="121512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 xml:space="preserve">14. Communicating and using research results: </w:t>
      </w:r>
      <w:r w:rsidRPr="00043F5A">
        <w:rPr>
          <w:color w:val="121512"/>
          <w:lang w:val="en-US"/>
        </w:rPr>
        <w:t>Talk about how to effectively communicate research results to different target groups (e.g. scientific audience, policy makers, public) and about best practices in scientific communication.</w:t>
      </w:r>
    </w:p>
    <w:p w14:paraId="79F635B6" w14:textId="77777777" w:rsidR="00935C13" w:rsidRPr="00043F5A" w:rsidRDefault="00935C13" w:rsidP="00643377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15. The role of digital technologies in health sciences and healthcare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(Telemedicine, </w:t>
      </w:r>
      <w:proofErr w:type="gramStart"/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mHealth</w:t>
      </w:r>
      <w:proofErr w:type="gramEnd"/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applications, management and use of digital health data in healthcare)</w:t>
      </w:r>
    </w:p>
    <w:p w14:paraId="5864464F" w14:textId="77777777" w:rsidR="00935C13" w:rsidRPr="00043F5A" w:rsidRDefault="00935C13" w:rsidP="00744C1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F79370" w14:textId="6D767942" w:rsidR="00B52746" w:rsidRPr="00043F5A" w:rsidRDefault="00B5274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D560F43" w14:textId="77777777" w:rsidR="007E483E" w:rsidRDefault="007E483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br w:type="page"/>
      </w:r>
    </w:p>
    <w:p w14:paraId="68EFF092" w14:textId="5709C84D" w:rsidR="00744C19" w:rsidRPr="00043F5A" w:rsidRDefault="00744C19" w:rsidP="00744C1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43F5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Minor Subjects:</w:t>
      </w:r>
    </w:p>
    <w:p w14:paraId="351A0D18" w14:textId="1B47E9A7" w:rsidR="00935C13" w:rsidRPr="00043F5A" w:rsidRDefault="00B52746" w:rsidP="00935C13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</w:pPr>
      <w:r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>The</w:t>
      </w:r>
      <w:r w:rsidR="00935C13"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 xml:space="preserve"> supervisor</w:t>
      </w:r>
      <w:r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 xml:space="preserve"> of</w:t>
      </w:r>
      <w:r w:rsidR="00935C13"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 xml:space="preserve"> the examinee</w:t>
      </w:r>
      <w:r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>, with the approval of the Chairman of the Division,</w:t>
      </w:r>
      <w:r w:rsidR="00935C13"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 xml:space="preserve"> defines the title of the </w:t>
      </w:r>
      <w:r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>minor</w:t>
      </w:r>
      <w:r w:rsidR="00935C13"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 xml:space="preserve"> subject, covering a narrower scientific field related to their research topic, and compiles a list of 8–10 topics from its subfields.</w:t>
      </w:r>
    </w:p>
    <w:p w14:paraId="437523C4" w14:textId="77777777" w:rsidR="00935C13" w:rsidRPr="00043F5A" w:rsidRDefault="00935C13" w:rsidP="00935C13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</w:pPr>
    </w:p>
    <w:p w14:paraId="7FE9EC11" w14:textId="429F9C43" w:rsidR="00935C13" w:rsidRPr="00043F5A" w:rsidRDefault="00935C13" w:rsidP="00935C13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  <w:r w:rsidRPr="00043F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hu-HU"/>
        </w:rPr>
        <w:t xml:space="preserve">The chosen main subject and the title and topic list of the </w:t>
      </w:r>
      <w:r w:rsidR="007E483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hu-HU"/>
        </w:rPr>
        <w:t>minor</w:t>
      </w:r>
      <w:r w:rsidRPr="00043F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hu-HU"/>
        </w:rPr>
        <w:t xml:space="preserve"> subject must be submitted to the Secretariat of the Health Sciences Division at the time of application for the complex exam.</w:t>
      </w:r>
    </w:p>
    <w:p w14:paraId="3327D6EA" w14:textId="77777777" w:rsidR="00744C19" w:rsidRPr="00043F5A" w:rsidRDefault="00744C19" w:rsidP="00744C1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09271A" w14:textId="53ADB47D" w:rsidR="00744C19" w:rsidRPr="00043F5A" w:rsidRDefault="00744C19" w:rsidP="00744C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Research Methodology</w:t>
      </w:r>
      <w:r w:rsidRPr="00043F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43F5A">
        <w:rPr>
          <w:rFonts w:ascii="Times New Roman" w:hAnsi="Times New Roman" w:cs="Times New Roman"/>
          <w:i/>
          <w:iCs/>
          <w:sz w:val="24"/>
          <w:szCs w:val="24"/>
          <w:lang w:val="en-US"/>
        </w:rPr>
        <w:t>(Only for candidates obtaining the degree without completing the training)</w:t>
      </w:r>
    </w:p>
    <w:p w14:paraId="3F6A30F0" w14:textId="5C7F9A80" w:rsidR="00B52746" w:rsidRPr="00043F5A" w:rsidRDefault="00B52746" w:rsidP="00B52746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</w:pPr>
      <w:r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>The supervisor of the examinee, with the approval of the Chairman of the Division, defines the title of the research methodology related to the candidate’s research topic, and compiles a list of 8–10 topics.</w:t>
      </w:r>
    </w:p>
    <w:p w14:paraId="1539708F" w14:textId="77777777" w:rsidR="00B52746" w:rsidRPr="00043F5A" w:rsidRDefault="00B5274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3F5A"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14:paraId="74F948CE" w14:textId="26B8E33B" w:rsidR="00B52746" w:rsidRPr="00043F5A" w:rsidRDefault="00B52746" w:rsidP="00B52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3F5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Program 3. and 4.</w:t>
      </w:r>
    </w:p>
    <w:p w14:paraId="6B2C8E6A" w14:textId="77777777" w:rsidR="00744C19" w:rsidRPr="00043F5A" w:rsidRDefault="00744C19">
      <w:pPr>
        <w:rPr>
          <w:rFonts w:ascii="Times New Roman" w:hAnsi="Times New Roman" w:cs="Times New Roman"/>
          <w:lang w:val="en-US"/>
        </w:rPr>
      </w:pPr>
    </w:p>
    <w:p w14:paraId="7DCCCD44" w14:textId="34EBAC9B" w:rsidR="00E44202" w:rsidRPr="00043F5A" w:rsidRDefault="00E44202" w:rsidP="00E4420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43F5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Major Subject:</w:t>
      </w:r>
    </w:p>
    <w:p w14:paraId="024F7D2E" w14:textId="77777777" w:rsidR="00E44202" w:rsidRPr="00043F5A" w:rsidRDefault="00E44202" w:rsidP="00515FA2">
      <w:pPr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9163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Health Sciences</w:t>
      </w:r>
      <w:r w:rsidRPr="00043F5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043F5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(At least 10 topics must be selected):</w:t>
      </w:r>
    </w:p>
    <w:p w14:paraId="3E8210B2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1.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043F5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Concepts and definitions of health and disease in different health science paradigms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(Bio-psycho-social model of health, WHO definition of health, alternative approaches)</w:t>
      </w:r>
    </w:p>
    <w:p w14:paraId="1EC76558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2. Epidemiology and prevention of chronic diseases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(Prevalence of chronic diseases globally and locally, identification of risk factors, prevention strategies)</w:t>
      </w:r>
    </w:p>
    <w:p w14:paraId="6287A1EE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3. Methodology of health promotion and health education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(Community health promotion, individual level health promotion, design of education strategies and programs)</w:t>
      </w:r>
    </w:p>
    <w:p w14:paraId="085C13D0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4. The relationship between mental health and psychosocial health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(The impact of stress on health, psychosocial factors and their role in the development of illness, treatment of mental illness)</w:t>
      </w:r>
    </w:p>
    <w:p w14:paraId="4F70B8B3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5. Health systems and their efficiency in different countries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(Financing of health systems, accessibility and quality of health care in different countries)</w:t>
      </w:r>
    </w:p>
    <w:p w14:paraId="326A9653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6. The role of lifestyle in maintaining health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(The impact of diet, physical activity, sleep and other lifestyle factors on health)</w:t>
      </w:r>
    </w:p>
    <w:p w14:paraId="3E15CC30" w14:textId="77777777" w:rsidR="00E44202" w:rsidRPr="00043F5A" w:rsidRDefault="00E44202" w:rsidP="00515FA2">
      <w:p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7. Principles and current challenges of epidemiology and public health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(Prevention and control of infectious diseases, strategies of epidemiology, lessons learned from COVID-19)</w:t>
      </w:r>
    </w:p>
    <w:p w14:paraId="654725B3" w14:textId="77777777" w:rsidR="00E44202" w:rsidRPr="00043F5A" w:rsidRDefault="00E44202" w:rsidP="00515FA2">
      <w:pPr>
        <w:spacing w:after="12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8. Strategies to address and reduce health inequalities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(The relationship between socio-economic status and health status, equal access to health care, discrimination in health care)</w:t>
      </w:r>
    </w:p>
    <w:p w14:paraId="757E432D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9. Research methodology in health sciences 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(Design, conduct, data collection and analysis of clinical and social science studies)</w:t>
      </w:r>
    </w:p>
    <w:p w14:paraId="07E41EEB" w14:textId="77777777" w:rsidR="00E44202" w:rsidRPr="00043F5A" w:rsidRDefault="00E44202" w:rsidP="00515FA2">
      <w:pPr>
        <w:pStyle w:val="NormlWeb"/>
        <w:spacing w:before="0" w:beforeAutospacing="0" w:after="120" w:afterAutospacing="0"/>
        <w:jc w:val="both"/>
        <w:rPr>
          <w:color w:val="222222"/>
          <w:shd w:val="clear" w:color="auto" w:fill="FFFFFF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>10. Ethical questions of research in health sciences:</w:t>
      </w:r>
      <w:r w:rsidRPr="00043F5A">
        <w:rPr>
          <w:color w:val="121512"/>
          <w:lang w:val="en-US"/>
        </w:rPr>
        <w:t xml:space="preserve"> Discuss ethical issues in research and how to address them (ethical issues, ethical approvals and good practices) </w:t>
      </w:r>
    </w:p>
    <w:p w14:paraId="5582E3BA" w14:textId="77777777" w:rsidR="00E44202" w:rsidRPr="00043F5A" w:rsidRDefault="00E44202" w:rsidP="00515FA2">
      <w:pPr>
        <w:pStyle w:val="NormlWeb"/>
        <w:spacing w:before="0" w:beforeAutospacing="0" w:after="120" w:afterAutospacing="0"/>
        <w:jc w:val="both"/>
        <w:rPr>
          <w:color w:val="121512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>11. Using quantitative research methods. Statistical analysis and data management</w:t>
      </w:r>
      <w:r w:rsidRPr="00043F5A">
        <w:rPr>
          <w:color w:val="121512"/>
          <w:lang w:val="en-US"/>
        </w:rPr>
        <w:t xml:space="preserve">: describe the </w:t>
      </w:r>
      <w:proofErr w:type="gramStart"/>
      <w:r w:rsidRPr="00043F5A">
        <w:rPr>
          <w:color w:val="121512"/>
          <w:lang w:val="en-US"/>
        </w:rPr>
        <w:t>most commonly used</w:t>
      </w:r>
      <w:proofErr w:type="gramEnd"/>
      <w:r w:rsidRPr="00043F5A">
        <w:rPr>
          <w:color w:val="121512"/>
          <w:lang w:val="en-US"/>
        </w:rPr>
        <w:t xml:space="preserve"> statistical analysis techniques (e.g. analysis of variance, regression) and data management methods in health research</w:t>
      </w:r>
    </w:p>
    <w:p w14:paraId="196745EB" w14:textId="77777777" w:rsidR="00E44202" w:rsidRPr="00043F5A" w:rsidRDefault="00E44202" w:rsidP="00515FA2">
      <w:pPr>
        <w:pStyle w:val="NormlWeb"/>
        <w:spacing w:before="0" w:beforeAutospacing="0" w:after="120" w:afterAutospacing="0"/>
        <w:jc w:val="both"/>
        <w:rPr>
          <w:color w:val="121512"/>
          <w:shd w:val="clear" w:color="auto" w:fill="FFFFFF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 xml:space="preserve">12. Using qualitative research methods in health sciences: </w:t>
      </w:r>
      <w:r w:rsidRPr="00043F5A">
        <w:rPr>
          <w:color w:val="121512"/>
          <w:shd w:val="clear" w:color="auto" w:fill="FFFFFF"/>
          <w:lang w:val="en-US"/>
        </w:rPr>
        <w:t>Discuss the role and benefits of qualitative research methods (e.g. interviews, focus groups)</w:t>
      </w:r>
    </w:p>
    <w:p w14:paraId="29F1F8B4" w14:textId="77777777" w:rsidR="00E44202" w:rsidRPr="00043F5A" w:rsidRDefault="00E44202" w:rsidP="00515FA2">
      <w:pPr>
        <w:pStyle w:val="NormlWeb"/>
        <w:spacing w:before="0" w:beforeAutospacing="0" w:after="120" w:afterAutospacing="0"/>
        <w:jc w:val="both"/>
        <w:rPr>
          <w:color w:val="121512"/>
          <w:lang w:val="en-US"/>
        </w:rPr>
      </w:pPr>
      <w:r w:rsidRPr="00043F5A">
        <w:rPr>
          <w:b/>
          <w:bCs/>
          <w:color w:val="121512"/>
          <w:shd w:val="clear" w:color="auto" w:fill="FFFFFF"/>
          <w:lang w:val="en-US"/>
        </w:rPr>
        <w:t>13.</w:t>
      </w:r>
      <w:r w:rsidRPr="00043F5A">
        <w:rPr>
          <w:color w:val="121512"/>
          <w:shd w:val="clear" w:color="auto" w:fill="FFFFFF"/>
          <w:lang w:val="en-US"/>
        </w:rPr>
        <w:t xml:space="preserve"> </w:t>
      </w:r>
      <w:r w:rsidRPr="00043F5A">
        <w:rPr>
          <w:rStyle w:val="Kiemels2"/>
          <w:rFonts w:eastAsiaTheme="majorEastAsia"/>
          <w:color w:val="121512"/>
          <w:lang w:val="en-US"/>
        </w:rPr>
        <w:t xml:space="preserve">Publication strategies in health sciences: </w:t>
      </w:r>
      <w:r w:rsidRPr="00043F5A">
        <w:rPr>
          <w:color w:val="121512"/>
          <w:lang w:val="en-US"/>
        </w:rPr>
        <w:t>Explain the importance of effective publication strategies, including the selection of targeted journals, the peer-review process, and dissemination of research results</w:t>
      </w:r>
    </w:p>
    <w:p w14:paraId="42DECAF0" w14:textId="77777777" w:rsidR="00E44202" w:rsidRPr="00043F5A" w:rsidRDefault="00E44202" w:rsidP="00515FA2">
      <w:pPr>
        <w:pStyle w:val="NormlWeb"/>
        <w:spacing w:before="0" w:beforeAutospacing="0" w:after="120" w:afterAutospacing="0"/>
        <w:jc w:val="both"/>
        <w:rPr>
          <w:color w:val="121512"/>
          <w:lang w:val="en-US"/>
        </w:rPr>
      </w:pPr>
      <w:r w:rsidRPr="00043F5A">
        <w:rPr>
          <w:rStyle w:val="Kiemels2"/>
          <w:rFonts w:eastAsiaTheme="majorEastAsia"/>
          <w:color w:val="121512"/>
          <w:lang w:val="en-US"/>
        </w:rPr>
        <w:t xml:space="preserve">14. Communicating and using research results: </w:t>
      </w:r>
      <w:r w:rsidRPr="00043F5A">
        <w:rPr>
          <w:color w:val="121512"/>
          <w:lang w:val="en-US"/>
        </w:rPr>
        <w:t>Talk about how to effectively communicate research results to different target groups (e.g. scientific audience, policy makers, public) and about best practices in scientific communication.</w:t>
      </w:r>
    </w:p>
    <w:p w14:paraId="781C1FD7" w14:textId="77777777" w:rsidR="00E44202" w:rsidRPr="00043F5A" w:rsidRDefault="00E44202" w:rsidP="00515FA2">
      <w:pPr>
        <w:spacing w:after="12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43F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15. The role of digital technologies in health sciences and healthcare</w:t>
      </w:r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(Telemedicine, </w:t>
      </w:r>
      <w:proofErr w:type="gramStart"/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mHealth</w:t>
      </w:r>
      <w:proofErr w:type="gramEnd"/>
      <w:r w:rsidRPr="00043F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applications, management and use of digital health data in healthcare)</w:t>
      </w:r>
    </w:p>
    <w:p w14:paraId="78F583C3" w14:textId="77777777" w:rsidR="00E44202" w:rsidRPr="00043F5A" w:rsidRDefault="00E44202">
      <w:pPr>
        <w:rPr>
          <w:rFonts w:ascii="Times New Roman" w:hAnsi="Times New Roman" w:cs="Times New Roman"/>
          <w:lang w:val="en-US"/>
        </w:rPr>
      </w:pPr>
    </w:p>
    <w:p w14:paraId="6D4E3330" w14:textId="77777777" w:rsidR="00991638" w:rsidRPr="00043F5A" w:rsidRDefault="00991638" w:rsidP="00991638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43F5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Minor Subjects:</w:t>
      </w:r>
    </w:p>
    <w:p w14:paraId="6C0EA48F" w14:textId="77777777" w:rsidR="00991638" w:rsidRPr="00043F5A" w:rsidRDefault="00991638" w:rsidP="00991638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</w:pPr>
      <w:r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>The supervisor of the examinee, with the approval of the Chairman of the Division, defines the title of the minor subject, covering a narrower scientific field related to their research topic, and compiles a list of 8–10 topics from its subfields.</w:t>
      </w:r>
    </w:p>
    <w:p w14:paraId="08CBF6EA" w14:textId="77777777" w:rsidR="00991638" w:rsidRPr="00043F5A" w:rsidRDefault="00991638" w:rsidP="00991638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</w:pPr>
    </w:p>
    <w:p w14:paraId="13CC3751" w14:textId="77777777" w:rsidR="00991638" w:rsidRPr="00043F5A" w:rsidRDefault="00991638" w:rsidP="00991638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hu-HU"/>
        </w:rPr>
      </w:pPr>
      <w:r w:rsidRPr="00043F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hu-HU"/>
        </w:rPr>
        <w:t xml:space="preserve">The chosen main subject and the title and topic list of the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hu-HU"/>
        </w:rPr>
        <w:t>minor</w:t>
      </w:r>
      <w:r w:rsidRPr="00043F5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 w:eastAsia="hu-HU"/>
        </w:rPr>
        <w:t xml:space="preserve"> subject must be submitted to the Secretariat of the Health Sciences Division at the time of application for the complex exam.</w:t>
      </w:r>
    </w:p>
    <w:p w14:paraId="1C72DCC5" w14:textId="77777777" w:rsidR="00991638" w:rsidRPr="00043F5A" w:rsidRDefault="00991638" w:rsidP="0099163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8C29D6" w14:textId="77777777" w:rsidR="00991638" w:rsidRPr="00043F5A" w:rsidRDefault="00991638" w:rsidP="009916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3F5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Research Methodology</w:t>
      </w:r>
      <w:r w:rsidRPr="00043F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43F5A">
        <w:rPr>
          <w:rFonts w:ascii="Times New Roman" w:hAnsi="Times New Roman" w:cs="Times New Roman"/>
          <w:i/>
          <w:iCs/>
          <w:sz w:val="24"/>
          <w:szCs w:val="24"/>
          <w:lang w:val="en-US"/>
        </w:rPr>
        <w:t>(Only for candidates obtaining the degree without completing the training)</w:t>
      </w:r>
    </w:p>
    <w:p w14:paraId="052DE065" w14:textId="77777777" w:rsidR="00991638" w:rsidRPr="00043F5A" w:rsidRDefault="00991638" w:rsidP="00991638">
      <w:pPr>
        <w:spacing w:line="288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</w:pPr>
      <w:r w:rsidRPr="00043F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hu-HU"/>
        </w:rPr>
        <w:t>The supervisor of the examinee, with the approval of the Chairman of the Division, defines the title of the research methodology related to the candidate’s research topic, and compiles a list of 8–10 topics.</w:t>
      </w:r>
    </w:p>
    <w:p w14:paraId="520F473C" w14:textId="77777777" w:rsidR="00E44202" w:rsidRPr="00043F5A" w:rsidRDefault="00E44202">
      <w:pPr>
        <w:rPr>
          <w:rFonts w:ascii="Times New Roman" w:hAnsi="Times New Roman" w:cs="Times New Roman"/>
          <w:lang w:val="en-US"/>
        </w:rPr>
      </w:pPr>
    </w:p>
    <w:sectPr w:rsidR="00E44202" w:rsidRPr="00043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4636" w14:textId="77777777" w:rsidR="00CB3AD8" w:rsidRDefault="00CB3AD8" w:rsidP="00744C19">
      <w:pPr>
        <w:spacing w:after="0" w:line="240" w:lineRule="auto"/>
      </w:pPr>
      <w:r>
        <w:separator/>
      </w:r>
    </w:p>
  </w:endnote>
  <w:endnote w:type="continuationSeparator" w:id="0">
    <w:p w14:paraId="6391F8FF" w14:textId="77777777" w:rsidR="00CB3AD8" w:rsidRDefault="00CB3AD8" w:rsidP="0074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7215" w14:textId="77777777" w:rsidR="00CB3AD8" w:rsidRDefault="00CB3AD8" w:rsidP="00744C19">
      <w:pPr>
        <w:spacing w:after="0" w:line="240" w:lineRule="auto"/>
      </w:pPr>
      <w:r>
        <w:separator/>
      </w:r>
    </w:p>
  </w:footnote>
  <w:footnote w:type="continuationSeparator" w:id="0">
    <w:p w14:paraId="0D78E6D5" w14:textId="77777777" w:rsidR="00CB3AD8" w:rsidRDefault="00CB3AD8" w:rsidP="0074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1CBA" w14:textId="2DA25E33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>Semmelweis University</w:t>
    </w:r>
  </w:p>
  <w:p w14:paraId="6BE39039" w14:textId="337401F5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  <w:proofErr w:type="spellStart"/>
    <w:r w:rsidRPr="00744C19">
      <w:rPr>
        <w:rFonts w:ascii="Times New Roman" w:hAnsi="Times New Roman" w:cs="Times New Roman"/>
        <w:sz w:val="24"/>
        <w:szCs w:val="24"/>
      </w:rPr>
      <w:t>Doctoral</w:t>
    </w:r>
    <w:proofErr w:type="spellEnd"/>
    <w:r w:rsidRPr="00744C19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44C19">
      <w:rPr>
        <w:rFonts w:ascii="Times New Roman" w:hAnsi="Times New Roman" w:cs="Times New Roman"/>
        <w:sz w:val="24"/>
        <w:szCs w:val="24"/>
      </w:rPr>
      <w:t>School</w:t>
    </w:r>
    <w:proofErr w:type="spellEnd"/>
    <w:r w:rsidRPr="00744C19">
      <w:rPr>
        <w:rFonts w:ascii="Times New Roman" w:hAnsi="Times New Roman" w:cs="Times New Roman"/>
        <w:sz w:val="24"/>
        <w:szCs w:val="24"/>
      </w:rPr>
      <w:tab/>
    </w:r>
  </w:p>
  <w:p w14:paraId="1F01C46E" w14:textId="77777777" w:rsidR="00744C19" w:rsidRPr="00744C19" w:rsidRDefault="00744C19">
    <w:pPr>
      <w:pStyle w:val="lfej"/>
      <w:rPr>
        <w:rFonts w:ascii="Times New Roman" w:hAnsi="Times New Roman" w:cs="Times New Roman"/>
        <w:sz w:val="24"/>
        <w:szCs w:val="24"/>
      </w:rPr>
    </w:pPr>
  </w:p>
  <w:p w14:paraId="58F3430D" w14:textId="5857213E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744C19">
      <w:rPr>
        <w:rFonts w:ascii="Times New Roman" w:hAnsi="Times New Roman" w:cs="Times New Roman"/>
        <w:sz w:val="24"/>
        <w:szCs w:val="24"/>
      </w:rPr>
      <w:tab/>
    </w:r>
    <w:r w:rsidRPr="00744C19">
      <w:rPr>
        <w:rFonts w:ascii="Times New Roman" w:hAnsi="Times New Roman" w:cs="Times New Roman"/>
        <w:sz w:val="24"/>
        <w:szCs w:val="24"/>
      </w:rPr>
      <w:tab/>
      <w:t xml:space="preserve">Semmelweis </w:t>
    </w:r>
    <w:r>
      <w:rPr>
        <w:rFonts w:ascii="Times New Roman" w:hAnsi="Times New Roman" w:cs="Times New Roman"/>
        <w:sz w:val="24"/>
        <w:szCs w:val="24"/>
      </w:rPr>
      <w:t>University</w:t>
    </w:r>
  </w:p>
  <w:p w14:paraId="17F82ED6" w14:textId="4CDEDA31" w:rsidR="00744C19" w:rsidRPr="00744C19" w:rsidRDefault="00744C19" w:rsidP="00744C19">
    <w:pPr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proofErr w:type="spellStart"/>
    <w:r w:rsidRPr="00744C19">
      <w:rPr>
        <w:rFonts w:ascii="Times New Roman" w:hAnsi="Times New Roman" w:cs="Times New Roman"/>
        <w:i/>
        <w:sz w:val="24"/>
        <w:szCs w:val="24"/>
      </w:rPr>
      <w:t>Institution</w:t>
    </w:r>
    <w:proofErr w:type="spellEnd"/>
    <w:r w:rsidRPr="00744C19">
      <w:rPr>
        <w:rFonts w:ascii="Times New Roman" w:hAnsi="Times New Roman" w:cs="Times New Roman"/>
        <w:i/>
        <w:sz w:val="24"/>
        <w:szCs w:val="24"/>
      </w:rPr>
      <w:t xml:space="preserve"> ID: FI 62576</w:t>
    </w:r>
  </w:p>
  <w:p w14:paraId="2F8B8609" w14:textId="27298423" w:rsidR="00744C19" w:rsidRDefault="00744C19">
    <w:pPr>
      <w:pStyle w:val="lfej"/>
    </w:pPr>
  </w:p>
  <w:p w14:paraId="493BFB2D" w14:textId="77777777" w:rsidR="00744C19" w:rsidRDefault="00744C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2808"/>
    <w:multiLevelType w:val="hybridMultilevel"/>
    <w:tmpl w:val="0B3668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71CC"/>
    <w:multiLevelType w:val="hybridMultilevel"/>
    <w:tmpl w:val="A860F6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30624"/>
    <w:multiLevelType w:val="hybridMultilevel"/>
    <w:tmpl w:val="04208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6132C"/>
    <w:multiLevelType w:val="hybridMultilevel"/>
    <w:tmpl w:val="71EAA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3712"/>
    <w:multiLevelType w:val="hybridMultilevel"/>
    <w:tmpl w:val="1EA64D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87EE7"/>
    <w:multiLevelType w:val="hybridMultilevel"/>
    <w:tmpl w:val="413E6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65789"/>
    <w:multiLevelType w:val="hybridMultilevel"/>
    <w:tmpl w:val="C6F2C2E8"/>
    <w:lvl w:ilvl="0" w:tplc="2A7C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743964">
    <w:abstractNumId w:val="3"/>
  </w:num>
  <w:num w:numId="2" w16cid:durableId="1274021386">
    <w:abstractNumId w:val="2"/>
  </w:num>
  <w:num w:numId="3" w16cid:durableId="1657344817">
    <w:abstractNumId w:val="1"/>
  </w:num>
  <w:num w:numId="4" w16cid:durableId="1211573154">
    <w:abstractNumId w:val="4"/>
  </w:num>
  <w:num w:numId="5" w16cid:durableId="465052455">
    <w:abstractNumId w:val="5"/>
  </w:num>
  <w:num w:numId="6" w16cid:durableId="99183332">
    <w:abstractNumId w:val="0"/>
  </w:num>
  <w:num w:numId="7" w16cid:durableId="1300300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19"/>
    <w:rsid w:val="00043F5A"/>
    <w:rsid w:val="001A01F4"/>
    <w:rsid w:val="00411849"/>
    <w:rsid w:val="00414D46"/>
    <w:rsid w:val="004D0ADA"/>
    <w:rsid w:val="00515FA2"/>
    <w:rsid w:val="00616957"/>
    <w:rsid w:val="00643377"/>
    <w:rsid w:val="00744C19"/>
    <w:rsid w:val="007A7EA4"/>
    <w:rsid w:val="007E483E"/>
    <w:rsid w:val="008F2C48"/>
    <w:rsid w:val="00935C13"/>
    <w:rsid w:val="00991638"/>
    <w:rsid w:val="00A15C14"/>
    <w:rsid w:val="00B52746"/>
    <w:rsid w:val="00C22663"/>
    <w:rsid w:val="00CB3AD8"/>
    <w:rsid w:val="00D529D4"/>
    <w:rsid w:val="00E4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1240"/>
  <w15:chartTrackingRefBased/>
  <w15:docId w15:val="{E94592AC-1D17-4497-81A2-97D2A2A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4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4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4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4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4C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4C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4C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4C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4C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4C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4C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4C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4C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4C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4C1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C19"/>
  </w:style>
  <w:style w:type="paragraph" w:styleId="llb">
    <w:name w:val="footer"/>
    <w:basedOn w:val="Norml"/>
    <w:link w:val="llbChar"/>
    <w:uiPriority w:val="99"/>
    <w:unhideWhenUsed/>
    <w:rsid w:val="00744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C19"/>
  </w:style>
  <w:style w:type="paragraph" w:styleId="NormlWeb">
    <w:name w:val="Normal (Web)"/>
    <w:basedOn w:val="Norml"/>
    <w:uiPriority w:val="99"/>
    <w:semiHidden/>
    <w:unhideWhenUsed/>
    <w:rsid w:val="00935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935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1496</Words>
  <Characters>10328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Marosfalvi Anita (oktatási munkatárs)</dc:creator>
  <cp:keywords/>
  <dc:description/>
  <cp:lastModifiedBy>Győrfi-Virág Judit (Oktatásszervezési szakértő)</cp:lastModifiedBy>
  <cp:revision>7</cp:revision>
  <dcterms:created xsi:type="dcterms:W3CDTF">2026-01-29T08:05:00Z</dcterms:created>
  <dcterms:modified xsi:type="dcterms:W3CDTF">2026-01-30T10:40:00Z</dcterms:modified>
</cp:coreProperties>
</file>