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F40E" w14:textId="77777777" w:rsidR="00B22EFA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ÖNKÖLTSÉGES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TEENDŐI</w:t>
      </w:r>
    </w:p>
    <w:p w14:paraId="4D9B1B7F" w14:textId="15D006C6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szabályos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adatszolgáltatás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miatt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Neptunban</w:t>
      </w:r>
      <w:proofErr w:type="spell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történt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olyan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fejlesztés,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céges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számlákhoz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kapcsolódó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befizető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szervezetek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rögzítésekor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rendszer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összeköttetésbe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került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NAV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adatbázisával,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így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automatikus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ellenőrzést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végez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szervezet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rögzítésekor.</w:t>
      </w:r>
    </w:p>
    <w:p w14:paraId="527ABB77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Viszont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ezt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ellenőrzést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hallgatói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webes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felületen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nem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lehet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bekapcsolni,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adminisztrációs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felületen.</w:t>
      </w:r>
    </w:p>
    <w:p w14:paraId="4976A663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Fentiek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okán,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számlán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szereplő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befizető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szervezet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ellenőrzötten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kerüljön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rögzítésre,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hallgatói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felületen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történő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rögzítés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megszüntetésre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kerül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.</w:t>
      </w:r>
    </w:p>
    <w:p w14:paraId="67D9FBDB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számlákat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honlapon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megtalálható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számlakérő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nyomtatvány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alapján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Pénzügyi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Igazgatóság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állítja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melyeket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kérjük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hyperlink r:id="rId8" w:history="1">
        <w:r w:rsidRPr="00201334">
          <w:rPr>
            <w:rStyle w:val="Hiperhivatkozs"/>
            <w:rFonts w:ascii="PT Serif" w:hAnsi="PT Serif"/>
          </w:rPr>
          <w:t>neptun.penzugyiosztaly@semmelweis.hu</w:t>
        </w:r>
      </w:hyperlink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mail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címre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szkennelve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és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papír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alapon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eljuttatni.</w:t>
      </w:r>
    </w:p>
    <w:p w14:paraId="309FDCDF" w14:textId="3D603D0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kiállításának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igényléséhez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szükséges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„számlakérő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nyomtatvány”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="00BD336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Doktori Iskola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honlapján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gram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elérhető,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proofErr w:type="gram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„dokumentumok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–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="00030E18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letölthető dokumentumok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”</w:t>
      </w:r>
      <w:r w:rsidR="00030E18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menüpontban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.</w:t>
      </w:r>
    </w:p>
    <w:p w14:paraId="7FE92875" w14:textId="15E2897A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Kérjük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azokat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hallgatókat,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akiknek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munkahely,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cég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fizeti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önköltségi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díjat,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minél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előbb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indítsák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el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számlakérőt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.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A számlaigénylő nyomtatvány, az Egyetem honlapjáról indítható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</w:t>
      </w:r>
      <w:proofErr w:type="spellEnd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belépő oldalán, a „</w:t>
      </w:r>
      <w:hyperlink r:id="rId9" w:history="1">
        <w:r w:rsidRPr="00BA2AF4">
          <w:rPr>
            <w:rStyle w:val="Hiperhivatkozs"/>
            <w:rFonts w:ascii="PT Serif" w:eastAsia="Times New Roman" w:hAnsi="PT Serif" w:cs="Times New Roman"/>
            <w:kern w:val="0"/>
            <w:sz w:val="20"/>
            <w:szCs w:val="20"/>
            <w:lang w:eastAsia="hu-HU"/>
            <w14:ligatures w14:val="none"/>
          </w:rPr>
          <w:t>Letölthető dokumentumok</w:t>
        </w:r>
      </w:hyperlink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” alatt került kihelyezésre „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SE_számlakérő</w:t>
      </w:r>
      <w:proofErr w:type="spellEnd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nyomtatvány” néven.</w:t>
      </w:r>
    </w:p>
    <w:p w14:paraId="2EC1FB5A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Befizetéseit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–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internetes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vásárlásra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alkalmas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–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bankkártyával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szíveskedjék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teljesíteni.</w:t>
      </w:r>
    </w:p>
    <w:p w14:paraId="62D4866F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Menete: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Pénzügyek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Befizetés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–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félév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beállítása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után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Listázás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–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megfelelő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tétel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sorában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befizet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négyzet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kipipálása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Befizet/Biztosan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gramStart"/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befizet?/</w:t>
      </w:r>
      <w:proofErr w:type="gramEnd"/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Igen/Fizetési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mód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választása:/OTP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Befizet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bankkártya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adatok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megadása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után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/</w:t>
      </w:r>
      <w:r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i/>
          <w:iCs/>
          <w:color w:val="1E2326"/>
          <w:kern w:val="0"/>
          <w:sz w:val="20"/>
          <w:szCs w:val="20"/>
          <w:lang w:eastAsia="hu-HU"/>
          <w14:ligatures w14:val="none"/>
        </w:rPr>
        <w:t>Elküld.</w:t>
      </w:r>
    </w:p>
    <w:p w14:paraId="0E3628E5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befizetések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támogatása,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valamint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folyamat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egyszerűsítése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érdekében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Egyetem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bevezette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gyűjtőszámla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használatát,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mely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lényegesen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megkönnyíti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és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leegyszerűsíti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befizetést.</w:t>
      </w:r>
    </w:p>
    <w:p w14:paraId="4ECB8121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gyűjtőszámla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használatának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jellemzői:</w:t>
      </w:r>
    </w:p>
    <w:p w14:paraId="7025A1B5" w14:textId="77777777" w:rsidR="00BB4CA9" w:rsidRPr="00BB4CA9" w:rsidRDefault="00BB4CA9" w:rsidP="00BB4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utalt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következő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munkanapon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jelenik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Neptunban</w:t>
      </w:r>
      <w:proofErr w:type="spellEnd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mely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</w:t>
      </w:r>
      <w:proofErr w:type="spell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kódja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szerint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kerül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Neptunba</w:t>
      </w:r>
      <w:proofErr w:type="spell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szabad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egyenlegként,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amíg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nem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kapcsolja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kiírással,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összeget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vissza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tudja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indítani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saját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számlaszámára,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illetve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szabad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egyenleget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tarthat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felmerült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költségekre.</w:t>
      </w:r>
    </w:p>
    <w:p w14:paraId="6EB98AF9" w14:textId="77777777" w:rsidR="00BB4CA9" w:rsidRPr="00BB4CA9" w:rsidRDefault="00BB4CA9" w:rsidP="00BB4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beazonosítás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feltétele,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hogy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megjegyzés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rovatba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utaláskor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bekerüljön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Neptun</w:t>
      </w:r>
      <w:proofErr w:type="spellEnd"/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kódja: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pl.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NK-123ABC</w:t>
      </w:r>
    </w:p>
    <w:p w14:paraId="5F1553CA" w14:textId="77777777" w:rsidR="00BB4CA9" w:rsidRPr="00BB4CA9" w:rsidRDefault="00BB4CA9" w:rsidP="00BB4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utalt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összeggel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még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teendője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van: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kiírást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össze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kell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kapcsolni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rendelkezésre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álló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egyenleggel.</w:t>
      </w:r>
    </w:p>
    <w:p w14:paraId="503C446C" w14:textId="77777777" w:rsidR="00BB4CA9" w:rsidRPr="00BB4CA9" w:rsidRDefault="00BB4CA9" w:rsidP="00BB4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összekapcsolást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úgy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tudja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elvégezni,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ahogy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Simplepay</w:t>
      </w:r>
      <w:proofErr w:type="spell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befizetést,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azzal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különbséggel,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amellett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választható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lehetőségként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megjelenik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fizetési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mód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kiválasztható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lehetőségek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között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Befizetés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funkció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kiválasztását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követően.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fizetési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módot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választva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egyenlegén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rendelkezésre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álló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összegből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tudja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kiírás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összegét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kiegyenlíteni.</w:t>
      </w:r>
    </w:p>
    <w:p w14:paraId="3319CD7C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i/>
          <w:iCs/>
          <w:color w:val="1E2326"/>
          <w:kern w:val="0"/>
          <w:sz w:val="20"/>
          <w:szCs w:val="20"/>
          <w:lang w:eastAsia="hu-HU"/>
          <w14:ligatures w14:val="none"/>
        </w:rPr>
        <w:t>Fontos</w:t>
      </w:r>
      <w:r>
        <w:rPr>
          <w:rFonts w:ascii="PT Serif" w:eastAsia="Times New Roman" w:hAnsi="PT Serif" w:cs="Times New Roman"/>
          <w:b/>
          <w:bCs/>
          <w:i/>
          <w:i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i/>
          <w:iCs/>
          <w:color w:val="1E2326"/>
          <w:kern w:val="0"/>
          <w:sz w:val="20"/>
          <w:szCs w:val="20"/>
          <w:lang w:eastAsia="hu-HU"/>
          <w14:ligatures w14:val="none"/>
        </w:rPr>
        <w:t>tudnivalók:</w:t>
      </w:r>
    </w:p>
    <w:p w14:paraId="7FECD740" w14:textId="77777777" w:rsidR="00BB4CA9" w:rsidRPr="00BB4CA9" w:rsidRDefault="00BB4CA9" w:rsidP="00BB4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lastRenderedPageBreak/>
        <w:t>Az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egyes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gyűjtőszámlákra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adott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devizanemben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lehet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utalni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.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HUF-ra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forintot,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EUR-ra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EUR-t.</w:t>
      </w:r>
    </w:p>
    <w:p w14:paraId="3C0A9DD9" w14:textId="77777777" w:rsidR="00BB4CA9" w:rsidRPr="00BB4CA9" w:rsidRDefault="00BB4CA9" w:rsidP="00BB4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Visszautalni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azonos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devizanemben,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és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devizás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esetében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IBAN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formátumban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megadott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számlaszámra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lehetséges,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míg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HUF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esetén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háromszor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nyolc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számjegyű,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magyar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(GIRO)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számlaszámra.</w:t>
      </w:r>
    </w:p>
    <w:p w14:paraId="7E566160" w14:textId="77777777" w:rsidR="00BB4CA9" w:rsidRPr="00BB4CA9" w:rsidRDefault="00BB4CA9" w:rsidP="00BB4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HUF-os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gyűjtőszámláról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HUF-ban,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az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EUR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gyűjtőszámláról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csak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EUR-ban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egyenlíthetők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ki.</w:t>
      </w:r>
    </w:p>
    <w:p w14:paraId="52E28E05" w14:textId="77777777" w:rsidR="00BB4CA9" w:rsidRPr="00BB4CA9" w:rsidRDefault="00BB4CA9" w:rsidP="00BB4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HUF,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EUR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és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USD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között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nincs</w:t>
      </w:r>
      <w:r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b/>
          <w:bCs/>
          <w:color w:val="1E2326"/>
          <w:kern w:val="0"/>
          <w:sz w:val="20"/>
          <w:szCs w:val="20"/>
          <w:lang w:eastAsia="hu-HU"/>
          <w14:ligatures w14:val="none"/>
        </w:rPr>
        <w:t>átjárhatóság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(tehát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Hallgató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nem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teheti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meg,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hogy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bármely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devizás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gyűjtőszámlán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lévő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szabad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egyenlegét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átvezeti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forintosra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és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fordítva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sem).</w:t>
      </w:r>
    </w:p>
    <w:tbl>
      <w:tblPr>
        <w:tblW w:w="5000" w:type="pct"/>
        <w:tblBorders>
          <w:top w:val="single" w:sz="6" w:space="0" w:color="DFE3E6"/>
          <w:left w:val="single" w:sz="6" w:space="0" w:color="DFE3E6"/>
          <w:bottom w:val="single" w:sz="6" w:space="0" w:color="DFE3E6"/>
          <w:right w:val="single" w:sz="6" w:space="0" w:color="DFE3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452"/>
        <w:gridCol w:w="1236"/>
        <w:gridCol w:w="3475"/>
        <w:gridCol w:w="1380"/>
      </w:tblGrid>
      <w:tr w:rsidR="00BB4CA9" w:rsidRPr="00BB4CA9" w14:paraId="32AC8ACA" w14:textId="77777777" w:rsidTr="00BB4CA9">
        <w:tc>
          <w:tcPr>
            <w:tcW w:w="83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F3041" w14:textId="77777777" w:rsidR="00BB4CA9" w:rsidRPr="00BB4CA9" w:rsidRDefault="00BB4CA9" w:rsidP="00BB4CA9">
            <w:pPr>
              <w:spacing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Bankszámla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megnevezése</w:t>
            </w:r>
          </w:p>
        </w:tc>
        <w:tc>
          <w:tcPr>
            <w:tcW w:w="823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B10AB" w14:textId="77777777" w:rsidR="00BB4CA9" w:rsidRPr="00BB4CA9" w:rsidRDefault="00BB4CA9" w:rsidP="00BB4CA9">
            <w:pPr>
              <w:spacing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Száma</w:t>
            </w:r>
          </w:p>
        </w:tc>
        <w:tc>
          <w:tcPr>
            <w:tcW w:w="672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B4EE8" w14:textId="77777777" w:rsidR="00BB4CA9" w:rsidRPr="00BB4CA9" w:rsidRDefault="00BB4CA9" w:rsidP="00BB4CA9">
            <w:pPr>
              <w:spacing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Pénzneme</w:t>
            </w:r>
          </w:p>
        </w:tc>
        <w:tc>
          <w:tcPr>
            <w:tcW w:w="1926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EEB81" w14:textId="77777777" w:rsidR="00BB4CA9" w:rsidRPr="00BB4CA9" w:rsidRDefault="00BB4CA9" w:rsidP="00BB4CA9">
            <w:pPr>
              <w:spacing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IBAN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szám</w:t>
            </w:r>
          </w:p>
        </w:tc>
        <w:tc>
          <w:tcPr>
            <w:tcW w:w="75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D89CE" w14:textId="77777777" w:rsidR="00BB4CA9" w:rsidRPr="00BB4CA9" w:rsidRDefault="00BB4CA9" w:rsidP="00BB4CA9">
            <w:pPr>
              <w:spacing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SWIFT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(BIC)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kód</w:t>
            </w:r>
          </w:p>
        </w:tc>
      </w:tr>
      <w:tr w:rsidR="00BB4CA9" w:rsidRPr="00BB4CA9" w14:paraId="7D1EA30F" w14:textId="77777777" w:rsidTr="00BB4CA9">
        <w:tc>
          <w:tcPr>
            <w:tcW w:w="83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0F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530E4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HUF-os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gyűjtőszámla</w:t>
            </w:r>
          </w:p>
        </w:tc>
        <w:tc>
          <w:tcPr>
            <w:tcW w:w="823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0F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15592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11784009-22236720</w:t>
            </w:r>
          </w:p>
        </w:tc>
        <w:tc>
          <w:tcPr>
            <w:tcW w:w="672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0F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CAB78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HUF</w:t>
            </w:r>
          </w:p>
        </w:tc>
        <w:tc>
          <w:tcPr>
            <w:tcW w:w="1926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0F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ABD96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HU36117840092223672000000000</w:t>
            </w:r>
          </w:p>
        </w:tc>
        <w:tc>
          <w:tcPr>
            <w:tcW w:w="75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0F3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7F6AA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OTPVHUHB</w:t>
            </w:r>
          </w:p>
        </w:tc>
      </w:tr>
      <w:tr w:rsidR="00BB4CA9" w:rsidRPr="00BB4CA9" w14:paraId="3EE21239" w14:textId="77777777" w:rsidTr="00BB4CA9">
        <w:tc>
          <w:tcPr>
            <w:tcW w:w="83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26558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EUR-os</w:t>
            </w:r>
            <w:r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 xml:space="preserve"> </w:t>
            </w: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gyűjtőszámla</w:t>
            </w:r>
          </w:p>
        </w:tc>
        <w:tc>
          <w:tcPr>
            <w:tcW w:w="823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6B437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11763842-00882880</w:t>
            </w:r>
          </w:p>
        </w:tc>
        <w:tc>
          <w:tcPr>
            <w:tcW w:w="672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C7440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EUR</w:t>
            </w:r>
          </w:p>
        </w:tc>
        <w:tc>
          <w:tcPr>
            <w:tcW w:w="1926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4A605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HU11117638420088288000000000</w:t>
            </w:r>
          </w:p>
        </w:tc>
        <w:tc>
          <w:tcPr>
            <w:tcW w:w="750" w:type="pct"/>
            <w:tcBorders>
              <w:top w:val="single" w:sz="6" w:space="0" w:color="DFE3E6"/>
              <w:left w:val="single" w:sz="6" w:space="0" w:color="DFE3E6"/>
              <w:bottom w:val="single" w:sz="6" w:space="0" w:color="DFE3E6"/>
              <w:right w:val="single" w:sz="6" w:space="0" w:color="DFE3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207CC" w14:textId="77777777" w:rsidR="00BB4CA9" w:rsidRPr="00BB4CA9" w:rsidRDefault="00BB4CA9" w:rsidP="00BB4CA9">
            <w:pPr>
              <w:spacing w:after="100" w:afterAutospacing="1" w:line="240" w:lineRule="auto"/>
              <w:rPr>
                <w:rFonts w:ascii="PT Serif" w:eastAsia="Times New Roman" w:hAnsi="PT Serif" w:cs="Times New Roman"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</w:pPr>
            <w:r w:rsidRPr="00BB4CA9">
              <w:rPr>
                <w:rFonts w:ascii="PT Serif" w:eastAsia="Times New Roman" w:hAnsi="PT Serif" w:cs="Times New Roman"/>
                <w:b/>
                <w:bCs/>
                <w:color w:val="1E2326"/>
                <w:kern w:val="0"/>
                <w:sz w:val="20"/>
                <w:szCs w:val="20"/>
                <w:lang w:eastAsia="hu-HU"/>
                <w14:ligatures w14:val="none"/>
              </w:rPr>
              <w:t>OTPVHUHB</w:t>
            </w:r>
          </w:p>
        </w:tc>
      </w:tr>
    </w:tbl>
    <w:p w14:paraId="01E1EAF4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</w:p>
    <w:p w14:paraId="52FF48BD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proofErr w:type="spellStart"/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Neptunos</w:t>
      </w:r>
      <w:proofErr w:type="spellEnd"/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devizás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kiírás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bankkártyával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nem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teljesíthető!</w:t>
      </w:r>
    </w:p>
    <w:p w14:paraId="26965A0C" w14:textId="77777777" w:rsidR="00BB4CA9" w:rsidRPr="00BB4CA9" w:rsidRDefault="00BB4CA9" w:rsidP="00BB4CA9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folyamatok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egyszerűsítése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miatt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kérjük,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jövőben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használják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gyűjtőszámla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funkciót,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mellyel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minden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típusú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kiírás</w:t>
      </w:r>
      <w:r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 xml:space="preserve"> </w:t>
      </w:r>
      <w:r w:rsidRPr="00BB4CA9"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  <w:t>teljesíthető.</w:t>
      </w:r>
    </w:p>
    <w:p w14:paraId="7109519A" w14:textId="472390C2" w:rsidR="00BB4CA9" w:rsidRDefault="00BB4CA9" w:rsidP="007B3770">
      <w:pPr>
        <w:rPr>
          <w:sz w:val="20"/>
          <w:szCs w:val="20"/>
        </w:rPr>
      </w:pPr>
    </w:p>
    <w:p w14:paraId="3C7599AC" w14:textId="453D434F" w:rsidR="00C02344" w:rsidRPr="005F7288" w:rsidRDefault="00000000" w:rsidP="005F7288">
      <w:pPr>
        <w:shd w:val="clear" w:color="auto" w:fill="FFFFFF"/>
        <w:spacing w:after="100" w:afterAutospacing="1" w:line="240" w:lineRule="auto"/>
        <w:rPr>
          <w:rFonts w:ascii="PT Serif" w:eastAsia="Times New Roman" w:hAnsi="PT Serif" w:cs="Times New Roman"/>
          <w:color w:val="1E2326"/>
          <w:kern w:val="0"/>
          <w:sz w:val="20"/>
          <w:szCs w:val="20"/>
          <w:lang w:eastAsia="hu-HU"/>
          <w14:ligatures w14:val="none"/>
        </w:rPr>
      </w:pPr>
      <w:hyperlink r:id="rId10" w:history="1">
        <w:r w:rsidR="00C02344" w:rsidRPr="005F7288">
          <w:rPr>
            <w:rStyle w:val="Hiperhivatkozs"/>
            <w:rFonts w:ascii="PT Serif" w:eastAsia="Times New Roman" w:hAnsi="PT Serif" w:cs="Times New Roman"/>
            <w:kern w:val="0"/>
            <w:sz w:val="20"/>
            <w:szCs w:val="20"/>
            <w:lang w:eastAsia="hu-HU"/>
            <w14:ligatures w14:val="none"/>
          </w:rPr>
          <w:t>SE NEPTUN</w:t>
        </w:r>
        <w:r w:rsidR="005F7288" w:rsidRPr="005F7288">
          <w:rPr>
            <w:rStyle w:val="Hiperhivatkozs"/>
            <w:rFonts w:ascii="PT Serif" w:eastAsia="Times New Roman" w:hAnsi="PT Serif" w:cs="Times New Roman"/>
            <w:kern w:val="0"/>
            <w:sz w:val="20"/>
            <w:szCs w:val="20"/>
            <w:lang w:eastAsia="hu-HU"/>
            <w14:ligatures w14:val="none"/>
          </w:rPr>
          <w:t xml:space="preserve"> PÉNZÜGYI TÁJÉKOZTATÓ</w:t>
        </w:r>
      </w:hyperlink>
    </w:p>
    <w:sectPr w:rsidR="00C02344" w:rsidRPr="005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975"/>
    <w:multiLevelType w:val="multilevel"/>
    <w:tmpl w:val="51A4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4278D"/>
    <w:multiLevelType w:val="multilevel"/>
    <w:tmpl w:val="EA8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546380">
    <w:abstractNumId w:val="0"/>
  </w:num>
  <w:num w:numId="2" w16cid:durableId="180141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A9"/>
    <w:rsid w:val="00030E18"/>
    <w:rsid w:val="001534B5"/>
    <w:rsid w:val="001F3C0B"/>
    <w:rsid w:val="005F7288"/>
    <w:rsid w:val="00790302"/>
    <w:rsid w:val="007B3770"/>
    <w:rsid w:val="009F720C"/>
    <w:rsid w:val="00B22EFA"/>
    <w:rsid w:val="00B729A0"/>
    <w:rsid w:val="00BA2AF4"/>
    <w:rsid w:val="00BB4CA9"/>
    <w:rsid w:val="00BD3369"/>
    <w:rsid w:val="00C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4E1C"/>
  <w15:chartTrackingRefBased/>
  <w15:docId w15:val="{3183C45C-E20C-4673-8802-56A8DB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BB4CA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B4CA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4CA9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B4CA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A2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tun.penzugyiosztaly@semmelweis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ptunweb.semmelweis.hu/hallgato/CommonControls/SaveFileDialog.aspx?Type=&amp;id=590633823&amp;Func=LoginDocument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ptunweb.semmelweis.hu/hallgato/CommonControls/SaveFileDialog.aspx?Type=&amp;id=522064330&amp;Func=LoginDocumentation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6989A054-E6DC-4476-B33F-70EAC575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16E01-04E1-4BFD-818C-85720BD0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1816D-B0D7-4A20-96AD-31E02D54638B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3595</Characters>
  <Application>Microsoft Office Word</Application>
  <DocSecurity>0</DocSecurity>
  <Lines>29</Lines>
  <Paragraphs>8</Paragraphs>
  <ScaleCrop>false</ScaleCrop>
  <Company>HP Inc.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Aliz (gazdasági hivatalvezető)</dc:creator>
  <cp:keywords/>
  <dc:description/>
  <cp:lastModifiedBy>Fodor Zsolt (oktatási rendszeradminisztrátor)</cp:lastModifiedBy>
  <cp:revision>2</cp:revision>
  <dcterms:created xsi:type="dcterms:W3CDTF">2023-09-25T12:24:00Z</dcterms:created>
  <dcterms:modified xsi:type="dcterms:W3CDTF">2023-09-25T12:24:00Z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