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1"/>
        <w:gridCol w:w="1349"/>
        <w:gridCol w:w="1091"/>
        <w:gridCol w:w="1091"/>
        <w:gridCol w:w="1091"/>
        <w:gridCol w:w="953"/>
      </w:tblGrid>
      <w:tr w:rsidR="007B694E" w:rsidRPr="009F1018" w14:paraId="6CAF98FE" w14:textId="77777777" w:rsidTr="007B694E">
        <w:trPr>
          <w:trHeight w:val="543"/>
        </w:trPr>
        <w:tc>
          <w:tcPr>
            <w:tcW w:w="9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91702" w14:textId="7DF23EEF" w:rsidR="007B694E" w:rsidRDefault="007B694E" w:rsidP="007B694E">
            <w:pPr>
              <w:spacing w:after="0" w:line="240" w:lineRule="auto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  <w: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br w:type="page"/>
            </w:r>
          </w:p>
          <w:p w14:paraId="2DBD9695" w14:textId="77777777" w:rsidR="007B694E" w:rsidRDefault="007B694E" w:rsidP="00D630A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  <w:p w14:paraId="1CA47880" w14:textId="06F630DF" w:rsidR="007B694E" w:rsidRPr="009F1018" w:rsidRDefault="007B694E" w:rsidP="00D630A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  <w:t>SEMMELWEIS EGYETEM</w:t>
            </w:r>
          </w:p>
        </w:tc>
      </w:tr>
      <w:tr w:rsidR="007B694E" w:rsidRPr="009F1018" w14:paraId="5A06C4B6" w14:textId="77777777" w:rsidTr="007B694E">
        <w:trPr>
          <w:trHeight w:val="543"/>
        </w:trPr>
        <w:tc>
          <w:tcPr>
            <w:tcW w:w="9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D47F4" w14:textId="77777777" w:rsidR="007B694E" w:rsidRDefault="007B694E" w:rsidP="00D630A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  <w:p w14:paraId="720E22E5" w14:textId="77777777" w:rsidR="007B694E" w:rsidRDefault="007B694E" w:rsidP="00D630A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  <w:p w14:paraId="235DA16E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  <w:t>Mentális Egészségtudomány Doktori Iskola</w:t>
            </w:r>
          </w:p>
        </w:tc>
      </w:tr>
      <w:tr w:rsidR="007B694E" w:rsidRPr="009F1018" w14:paraId="185C5D28" w14:textId="77777777" w:rsidTr="007B694E">
        <w:trPr>
          <w:trHeight w:val="473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6C75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A563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B7C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B9B0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8661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1160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7D6B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614A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319F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694E" w:rsidRPr="009F1018" w14:paraId="51A2DEBE" w14:textId="77777777" w:rsidTr="007B694E">
        <w:trPr>
          <w:trHeight w:val="333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A72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F2C1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D0EC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BC7D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32"/>
                <w:szCs w:val="32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B737" w14:textId="45D2AFAC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hu-HU"/>
              </w:rPr>
            </w:pPr>
            <w:r w:rsidRPr="009F1018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hu-HU"/>
              </w:rPr>
              <w:t>4/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hu-HU"/>
              </w:rPr>
              <w:t>3</w:t>
            </w:r>
            <w:r w:rsidRPr="009F1018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hu-HU"/>
              </w:rPr>
              <w:t xml:space="preserve"> program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8E7A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32"/>
                <w:szCs w:val="32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9B77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E01A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FDF1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694E" w:rsidRPr="009F1018" w14:paraId="177646A5" w14:textId="77777777" w:rsidTr="007B694E">
        <w:trPr>
          <w:trHeight w:val="357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F0D8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75CC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D92C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1A17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B89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FED1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6CAC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C6AC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7333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694E" w:rsidRPr="009F1018" w14:paraId="1A336C99" w14:textId="77777777" w:rsidTr="007B694E">
        <w:trPr>
          <w:trHeight w:val="333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EDA0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EA1F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5651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3DF6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FB1B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4A7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F5FA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136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9D8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694E" w:rsidRPr="009F1018" w14:paraId="5D198498" w14:textId="77777777" w:rsidTr="007B694E">
        <w:trPr>
          <w:trHeight w:val="1179"/>
        </w:trPr>
        <w:tc>
          <w:tcPr>
            <w:tcW w:w="9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9D6FD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  <w:t>Kutatási tevékenység értékelési szempontrendszere</w:t>
            </w:r>
          </w:p>
        </w:tc>
      </w:tr>
      <w:tr w:rsidR="007B694E" w:rsidRPr="009F1018" w14:paraId="0934AC67" w14:textId="77777777" w:rsidTr="007B694E">
        <w:trPr>
          <w:trHeight w:val="473"/>
        </w:trPr>
        <w:tc>
          <w:tcPr>
            <w:tcW w:w="9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712AF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694E" w:rsidRPr="009F1018" w14:paraId="1374213C" w14:textId="77777777" w:rsidTr="007B694E">
        <w:trPr>
          <w:trHeight w:val="543"/>
        </w:trPr>
        <w:tc>
          <w:tcPr>
            <w:tcW w:w="9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6A351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B694E" w:rsidRPr="009F1018" w14:paraId="4F86BA09" w14:textId="77777777" w:rsidTr="007B694E">
        <w:trPr>
          <w:trHeight w:val="543"/>
        </w:trPr>
        <w:tc>
          <w:tcPr>
            <w:tcW w:w="9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BC739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  <w:t>Érvényes: 2022.12.01-től visszavonásig</w:t>
            </w:r>
          </w:p>
        </w:tc>
      </w:tr>
      <w:tr w:rsidR="007B694E" w:rsidRPr="009F1018" w14:paraId="3A24A67D" w14:textId="77777777" w:rsidTr="007B694E">
        <w:trPr>
          <w:trHeight w:val="530"/>
        </w:trPr>
        <w:tc>
          <w:tcPr>
            <w:tcW w:w="9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CD6C" w14:textId="77777777" w:rsidR="007B694E" w:rsidRPr="009F1018" w:rsidRDefault="007B694E" w:rsidP="00D630A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</w:tc>
      </w:tr>
    </w:tbl>
    <w:p w14:paraId="5C476FB5" w14:textId="77777777" w:rsidR="007B694E" w:rsidRDefault="007B694E">
      <w:pPr>
        <w:rPr>
          <w:rFonts w:ascii="Trebuchet MS" w:hAnsi="Trebuchet MS" w:cstheme="minorHAnsi"/>
          <w:bCs/>
          <w:color w:val="1F4E79" w:themeColor="accent1" w:themeShade="80"/>
          <w:sz w:val="24"/>
          <w:szCs w:val="24"/>
        </w:rPr>
        <w:sectPr w:rsidR="007B694E" w:rsidSect="007B694E">
          <w:headerReference w:type="default" r:id="rId7"/>
          <w:footerReference w:type="default" r:id="rId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2063BC1A" w14:textId="1A110598" w:rsidR="00A05DD8" w:rsidRPr="007B694E" w:rsidRDefault="00FA5889" w:rsidP="007B694E">
      <w:pPr>
        <w:spacing w:after="0" w:line="240" w:lineRule="auto"/>
        <w:jc w:val="center"/>
        <w:rPr>
          <w:rFonts w:ascii="Trebuchet MS" w:hAnsi="Trebuchet MS" w:cstheme="minorHAnsi"/>
          <w:bCs/>
          <w:color w:val="1F4E79" w:themeColor="accent1" w:themeShade="80"/>
          <w:sz w:val="24"/>
          <w:szCs w:val="24"/>
        </w:rPr>
      </w:pPr>
      <w:r w:rsidRPr="007B694E">
        <w:rPr>
          <w:rFonts w:ascii="Trebuchet MS" w:hAnsi="Trebuchet MS" w:cstheme="minorHAnsi"/>
          <w:bCs/>
          <w:color w:val="1F4E79" w:themeColor="accent1" w:themeShade="80"/>
          <w:sz w:val="24"/>
          <w:szCs w:val="24"/>
        </w:rPr>
        <w:lastRenderedPageBreak/>
        <w:t>A 4/3. Doktori program ösztöndíjas és önköltséges hallgatói számára félévi bontásban előírt minimumkövetelmények</w:t>
      </w:r>
    </w:p>
    <w:p w14:paraId="2B937B6B" w14:textId="77777777" w:rsidR="00BD0E93" w:rsidRPr="007B694E" w:rsidRDefault="00BD0E93" w:rsidP="00DA73FC">
      <w:pPr>
        <w:spacing w:after="0" w:line="240" w:lineRule="auto"/>
        <w:rPr>
          <w:rFonts w:ascii="Trebuchet MS" w:hAnsi="Trebuchet MS" w:cstheme="minorHAnsi"/>
          <w:color w:val="1F4E79" w:themeColor="accent1" w:themeShade="80"/>
          <w:sz w:val="24"/>
          <w:szCs w:val="24"/>
        </w:rPr>
      </w:pPr>
    </w:p>
    <w:tbl>
      <w:tblPr>
        <w:tblStyle w:val="Rcsostblzat"/>
        <w:tblW w:w="1559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48"/>
        <w:gridCol w:w="1746"/>
        <w:gridCol w:w="97"/>
        <w:gridCol w:w="1795"/>
        <w:gridCol w:w="1795"/>
        <w:gridCol w:w="1746"/>
        <w:gridCol w:w="1746"/>
        <w:gridCol w:w="1746"/>
        <w:gridCol w:w="1751"/>
        <w:gridCol w:w="11"/>
      </w:tblGrid>
      <w:tr w:rsidR="007B694E" w:rsidRPr="007B694E" w14:paraId="0C1C6C79" w14:textId="77777777" w:rsidTr="007B694E">
        <w:trPr>
          <w:gridAfter w:val="1"/>
          <w:wAfter w:w="11" w:type="dxa"/>
        </w:trPr>
        <w:tc>
          <w:tcPr>
            <w:tcW w:w="1413" w:type="dxa"/>
            <w:shd w:val="clear" w:color="auto" w:fill="D9D9D9" w:themeFill="background1" w:themeFillShade="D9"/>
          </w:tcPr>
          <w:p w14:paraId="2D33F63B" w14:textId="4F36226F" w:rsidR="00BB0E4B" w:rsidRPr="007B694E" w:rsidRDefault="00FA5889" w:rsidP="00DA73FC">
            <w:pP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bookmarkStart w:id="0" w:name="_Hlk98419941"/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Félévek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3D7A0588" w14:textId="605322BB" w:rsidR="00BB0E4B" w:rsidRPr="007B694E" w:rsidRDefault="00BB0E4B" w:rsidP="00DA73FC">
            <w:pPr>
              <w:ind w:left="360"/>
              <w:jc w:val="center"/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I.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0D3312EB" w14:textId="70685066" w:rsidR="00BB0E4B" w:rsidRPr="007B694E" w:rsidRDefault="00BB0E4B" w:rsidP="00DA73FC">
            <w:pPr>
              <w:ind w:left="360"/>
              <w:jc w:val="center"/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II.</w:t>
            </w:r>
          </w:p>
        </w:tc>
        <w:tc>
          <w:tcPr>
            <w:tcW w:w="1892" w:type="dxa"/>
            <w:gridSpan w:val="2"/>
            <w:shd w:val="clear" w:color="auto" w:fill="D9D9D9" w:themeFill="background1" w:themeFillShade="D9"/>
          </w:tcPr>
          <w:p w14:paraId="7B69730C" w14:textId="6CE14B8B" w:rsidR="00BB0E4B" w:rsidRPr="007B694E" w:rsidRDefault="00BB0E4B" w:rsidP="00DA73FC">
            <w:pPr>
              <w:ind w:left="360"/>
              <w:jc w:val="center"/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III.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76F7D9C" w14:textId="1A1C0251" w:rsidR="00BB0E4B" w:rsidRPr="007B694E" w:rsidRDefault="00BB0E4B" w:rsidP="00DA73FC">
            <w:pPr>
              <w:ind w:left="360"/>
              <w:jc w:val="center"/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IV.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2B329307" w14:textId="3F91A9C7" w:rsidR="00BB0E4B" w:rsidRPr="007B694E" w:rsidRDefault="00BB0E4B" w:rsidP="00DA73FC">
            <w:pPr>
              <w:ind w:left="360"/>
              <w:jc w:val="center"/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V.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4E3F46B6" w14:textId="522B14A7" w:rsidR="00BB0E4B" w:rsidRPr="007B694E" w:rsidRDefault="00BB0E4B" w:rsidP="00DA73FC">
            <w:pPr>
              <w:ind w:left="360"/>
              <w:jc w:val="center"/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VI.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6C88A5C8" w14:textId="59C430F2" w:rsidR="00BB0E4B" w:rsidRPr="007B694E" w:rsidRDefault="00BB0E4B" w:rsidP="00DA73FC">
            <w:pPr>
              <w:ind w:left="360"/>
              <w:jc w:val="center"/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VII.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14:paraId="514CD88D" w14:textId="56968B6E" w:rsidR="00BB0E4B" w:rsidRPr="007B694E" w:rsidRDefault="00BB0E4B" w:rsidP="00DA73FC">
            <w:pPr>
              <w:ind w:left="360"/>
              <w:jc w:val="center"/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VIII.</w:t>
            </w:r>
          </w:p>
        </w:tc>
      </w:tr>
      <w:tr w:rsidR="007B694E" w:rsidRPr="007B694E" w14:paraId="3040E00D" w14:textId="77777777" w:rsidTr="007B694E">
        <w:trPr>
          <w:gridAfter w:val="1"/>
          <w:wAfter w:w="11" w:type="dxa"/>
        </w:trPr>
        <w:tc>
          <w:tcPr>
            <w:tcW w:w="1413" w:type="dxa"/>
            <w:shd w:val="clear" w:color="auto" w:fill="D9D9D9" w:themeFill="background1" w:themeFillShade="D9"/>
          </w:tcPr>
          <w:p w14:paraId="104D3E05" w14:textId="77777777" w:rsidR="00F767F0" w:rsidRPr="007B694E" w:rsidRDefault="00F767F0" w:rsidP="00DA73FC">
            <w:pP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bookmarkStart w:id="1" w:name="_Hlk98419853"/>
            <w:bookmarkEnd w:id="0"/>
          </w:p>
        </w:tc>
        <w:tc>
          <w:tcPr>
            <w:tcW w:w="7181" w:type="dxa"/>
            <w:gridSpan w:val="5"/>
            <w:shd w:val="clear" w:color="auto" w:fill="D9D9D9" w:themeFill="background1" w:themeFillShade="D9"/>
          </w:tcPr>
          <w:p w14:paraId="5C82F6AC" w14:textId="1D8DE33C" w:rsidR="00F767F0" w:rsidRPr="007B694E" w:rsidRDefault="00F767F0" w:rsidP="00DA73FC">
            <w:pPr>
              <w:jc w:val="center"/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KÉPZÉSI FÁZIS + KOMPLEX VIZSGA</w:t>
            </w:r>
          </w:p>
        </w:tc>
        <w:tc>
          <w:tcPr>
            <w:tcW w:w="6989" w:type="dxa"/>
            <w:gridSpan w:val="4"/>
            <w:shd w:val="clear" w:color="auto" w:fill="D9D9D9" w:themeFill="background1" w:themeFillShade="D9"/>
          </w:tcPr>
          <w:p w14:paraId="76478186" w14:textId="50E2AACE" w:rsidR="00F767F0" w:rsidRPr="007B694E" w:rsidRDefault="00F767F0" w:rsidP="00DA73FC">
            <w:pPr>
              <w:jc w:val="center"/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DISSZERTÁCIÓS FÁZIS</w:t>
            </w:r>
          </w:p>
        </w:tc>
      </w:tr>
      <w:bookmarkEnd w:id="1"/>
      <w:tr w:rsidR="007B694E" w:rsidRPr="007B694E" w14:paraId="055601B8" w14:textId="77777777" w:rsidTr="007B694E">
        <w:tc>
          <w:tcPr>
            <w:tcW w:w="1413" w:type="dxa"/>
          </w:tcPr>
          <w:p w14:paraId="1C044302" w14:textId="3B8CD2ED" w:rsidR="00FA5889" w:rsidRPr="007B694E" w:rsidRDefault="00FA5889" w:rsidP="00DA73FC">
            <w:pP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Oktatási kreditek</w:t>
            </w:r>
          </w:p>
        </w:tc>
        <w:tc>
          <w:tcPr>
            <w:tcW w:w="14181" w:type="dxa"/>
            <w:gridSpan w:val="10"/>
          </w:tcPr>
          <w:p w14:paraId="2BAACFEE" w14:textId="77777777" w:rsidR="00D7717D" w:rsidRPr="007B694E" w:rsidRDefault="00FA5889" w:rsidP="00DA73FC">
            <w:pPr>
              <w:jc w:val="center"/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A 4/3. doktori programban oktatási kötelezettsége nincsen a hallgatóknak.</w:t>
            </w:r>
            <w:r w:rsidR="00D7717D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4D63B650" w14:textId="05190393" w:rsidR="00FA5889" w:rsidRPr="007B694E" w:rsidRDefault="00D7717D" w:rsidP="00DA73FC">
            <w:pPr>
              <w:jc w:val="center"/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A Mentálhigiéné Intézet szakjain meghívás alapján van lehetőség bekapcsolódni az oktatásba.</w:t>
            </w:r>
          </w:p>
        </w:tc>
      </w:tr>
      <w:tr w:rsidR="007B694E" w:rsidRPr="007B694E" w14:paraId="62C664D8" w14:textId="77777777" w:rsidTr="007B694E">
        <w:tc>
          <w:tcPr>
            <w:tcW w:w="1413" w:type="dxa"/>
            <w:vMerge w:val="restart"/>
          </w:tcPr>
          <w:p w14:paraId="62C27F14" w14:textId="77777777" w:rsidR="00BD07CE" w:rsidRPr="007B694E" w:rsidRDefault="00BD07CE" w:rsidP="00DA73FC">
            <w:pP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 xml:space="preserve">Kutatási kreditek </w:t>
            </w:r>
          </w:p>
          <w:p w14:paraId="303F3A5C" w14:textId="269EC43C" w:rsidR="00BD07CE" w:rsidRPr="007B694E" w:rsidRDefault="00BD07CE" w:rsidP="00DA73FC">
            <w:pP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181" w:type="dxa"/>
            <w:gridSpan w:val="10"/>
          </w:tcPr>
          <w:p w14:paraId="45D8784D" w14:textId="5C11000D" w:rsidR="00BD07CE" w:rsidRPr="007B694E" w:rsidRDefault="00BD07CE" w:rsidP="00DA73FC">
            <w:pPr>
              <w:jc w:val="center"/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Szakirodalom kutatás: Keresési stratégia kidolgozása</w:t>
            </w:r>
            <w:r w:rsidR="004618ED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, </w:t>
            </w: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majd az olvasott szakirodalmak folyamatos nyomon követése, dokumentációja</w:t>
            </w:r>
            <w:r w:rsidR="00BD0E93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  <w:vertAlign w:val="superscript"/>
              </w:rPr>
              <w:t>1</w:t>
            </w:r>
          </w:p>
          <w:p w14:paraId="087DF255" w14:textId="0875651E" w:rsidR="00BD07CE" w:rsidRPr="007B694E" w:rsidRDefault="004618ED" w:rsidP="00DA73FC">
            <w:pPr>
              <w:jc w:val="center"/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Empirikus k</w:t>
            </w:r>
            <w:r w:rsidR="00BD07CE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utatási tevékenység: tervezés</w:t>
            </w: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 (dizájn, </w:t>
            </w:r>
            <w:r w:rsidR="00BD07CE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mintavétel, mérőeszköz</w:t>
            </w: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rendszer)</w:t>
            </w:r>
            <w:r w:rsidR="00BD07CE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, </w:t>
            </w: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engedélyeztetés, </w:t>
            </w:r>
            <w:r w:rsidR="00BD07CE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adatfelvétel, elemzések, publikáció – ezek folyamatos dokumentációja</w:t>
            </w:r>
            <w:r w:rsidR="00BD0E93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  <w:vertAlign w:val="superscript"/>
              </w:rPr>
              <w:t>1</w:t>
            </w:r>
          </w:p>
        </w:tc>
      </w:tr>
      <w:tr w:rsidR="007B694E" w:rsidRPr="007B694E" w14:paraId="39DBA72E" w14:textId="77777777" w:rsidTr="007B694E">
        <w:trPr>
          <w:gridAfter w:val="1"/>
          <w:wAfter w:w="11" w:type="dxa"/>
        </w:trPr>
        <w:tc>
          <w:tcPr>
            <w:tcW w:w="1413" w:type="dxa"/>
            <w:vMerge/>
          </w:tcPr>
          <w:p w14:paraId="670D705D" w14:textId="4A240437" w:rsidR="00BD07CE" w:rsidRPr="007B694E" w:rsidRDefault="00BD07CE" w:rsidP="00DA73FC">
            <w:pP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8722CA3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Részletes kutatási terv kidolgozása</w:t>
            </w:r>
          </w:p>
          <w:p w14:paraId="28D9E7AB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59361660" w14:textId="1AB4E5A0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Kérdésfeltevések, hipotézisek meghatározása </w:t>
            </w:r>
          </w:p>
          <w:p w14:paraId="786A128E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099C999F" w14:textId="4A995BF8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Lehetséges mérőeszközök meghatározása alternatívákkal, mérőeszközrendszer </w:t>
            </w: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lastRenderedPageBreak/>
              <w:t>kialakításának megkezdése</w:t>
            </w:r>
          </w:p>
        </w:tc>
        <w:tc>
          <w:tcPr>
            <w:tcW w:w="1746" w:type="dxa"/>
          </w:tcPr>
          <w:p w14:paraId="25D34A1A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lastRenderedPageBreak/>
              <w:t xml:space="preserve">Részletes kutatási és munkaterv véglegesítése </w:t>
            </w:r>
          </w:p>
          <w:p w14:paraId="5508CC26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67A89CF0" w14:textId="3FEC20C8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Kérdésfeltevések, hipotézisek </w:t>
            </w:r>
            <w:r w:rsidR="004618ED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meghatározása</w:t>
            </w:r>
          </w:p>
          <w:p w14:paraId="270E21DE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6B545CD6" w14:textId="4D8CA120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Mérőeszközrendszer tervezése (kvantitatív kutatás esetén: kérdőív </w:t>
            </w: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lastRenderedPageBreak/>
              <w:t xml:space="preserve">adaptációk vagy szerkesztés; kvalitatív kutatás esetén: egyéni vagy fókuszcsoportos interjúk vezérfonalának kidolgozása; másodelemzés esetén: speciális adatbázisok, honlapok azonosítása, listájának összeállítása) </w:t>
            </w:r>
          </w:p>
          <w:p w14:paraId="4A05B17A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1E7A5E7A" w14:textId="188BE610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Kutatási módszerek tervezése: mintavétel, eljárások, mérőeszközök, adatkezelés</w:t>
            </w:r>
          </w:p>
          <w:p w14:paraId="578734FA" w14:textId="40A58BAF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előkészítése</w:t>
            </w:r>
          </w:p>
          <w:p w14:paraId="7864C91A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79083FAC" w14:textId="577681F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Pilot vizsgálat etikai engedélyéhez szükséges beadvány előkészítése</w:t>
            </w:r>
          </w:p>
          <w:p w14:paraId="57BE2993" w14:textId="0F759E20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14:paraId="350816AA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lastRenderedPageBreak/>
              <w:t>Adatfelvétel előkészítése</w:t>
            </w:r>
          </w:p>
          <w:p w14:paraId="58F3124B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27A31AE1" w14:textId="77777777" w:rsidR="004618ED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Kérdésfeltevések, hipotézisek véglegesítése </w:t>
            </w:r>
          </w:p>
          <w:p w14:paraId="51A1AFC9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3050A5F5" w14:textId="544EB5F4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Pilot vizsgálat etikai engedélyeztetése</w:t>
            </w:r>
          </w:p>
          <w:p w14:paraId="38BBBB5C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11D831F6" w14:textId="0B25C51E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Pilot vizsgálat végrehajtása, eredmények elemzése</w:t>
            </w:r>
          </w:p>
          <w:p w14:paraId="1B08FC2E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2E016291" w14:textId="2BEB0BF5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lastRenderedPageBreak/>
              <w:t>Pilot vizsgálat eredményei alapján a végleges kutatás módszereinek véglegesítése: mintavétel, eljárások, mérőeszközök, adatkezelés</w:t>
            </w:r>
          </w:p>
          <w:p w14:paraId="73368B0B" w14:textId="0E812B6C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0C6B7C9E" w14:textId="1CB4BD95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Elemzési módszerek, stratégiák megtervezése</w:t>
            </w:r>
          </w:p>
          <w:p w14:paraId="390A408D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5EE3BFC5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A végleges kutatás etikai engedélyének benyújtása</w:t>
            </w:r>
          </w:p>
          <w:p w14:paraId="7E0208EE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354DCAD0" w14:textId="34B4252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Adatgyűjtés megkezdése</w:t>
            </w:r>
          </w:p>
        </w:tc>
        <w:tc>
          <w:tcPr>
            <w:tcW w:w="1795" w:type="dxa"/>
          </w:tcPr>
          <w:p w14:paraId="63722821" w14:textId="5CD9B3FA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lastRenderedPageBreak/>
              <w:t>A végleges kutatás etikai engedélyeztetésének lezárása</w:t>
            </w:r>
          </w:p>
          <w:p w14:paraId="26DA562A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1165F6CB" w14:textId="74242646" w:rsidR="00BD07CE" w:rsidRPr="007B694E" w:rsidRDefault="00BD07CE" w:rsidP="004618ED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Adatgyűjtés </w:t>
            </w:r>
            <w:r w:rsidR="003D47FF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megkezdése /</w:t>
            </w:r>
            <w:r w:rsidR="004618ED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folytatása</w:t>
            </w:r>
          </w:p>
          <w:p w14:paraId="5AB23D9E" w14:textId="77777777" w:rsidR="004618ED" w:rsidRPr="007B694E" w:rsidRDefault="004618ED" w:rsidP="004618ED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046A624F" w14:textId="215506B5" w:rsidR="004618ED" w:rsidRPr="007B694E" w:rsidRDefault="004618ED" w:rsidP="004618ED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Adatelemzés</w:t>
            </w:r>
          </w:p>
        </w:tc>
        <w:tc>
          <w:tcPr>
            <w:tcW w:w="1746" w:type="dxa"/>
          </w:tcPr>
          <w:p w14:paraId="0F107CB0" w14:textId="2091DFC1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Adatgyűjtés folytatása </w:t>
            </w:r>
          </w:p>
          <w:p w14:paraId="1741B5D9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49A4BEF6" w14:textId="45615839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Adatelemzés</w:t>
            </w:r>
          </w:p>
          <w:p w14:paraId="5055D1DA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746" w:type="dxa"/>
          </w:tcPr>
          <w:p w14:paraId="068C1407" w14:textId="4EEA0B4A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Adatgyűjtés folytatása </w:t>
            </w:r>
          </w:p>
          <w:p w14:paraId="03BFFE56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15E412C5" w14:textId="1F6BE1FA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Adatelemzés</w:t>
            </w:r>
          </w:p>
          <w:p w14:paraId="1CD4E7AA" w14:textId="4E3A99EE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39302B49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076070EA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</w:tcPr>
          <w:p w14:paraId="46E90AD6" w14:textId="778CE4A8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Adatgyűjtés folytatása </w:t>
            </w:r>
          </w:p>
          <w:p w14:paraId="732D02CE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19D876E2" w14:textId="72E3E561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Adatelemzés</w:t>
            </w:r>
          </w:p>
        </w:tc>
        <w:tc>
          <w:tcPr>
            <w:tcW w:w="1751" w:type="dxa"/>
          </w:tcPr>
          <w:p w14:paraId="568309D9" w14:textId="20D189C1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Adatgyűjtés folytatása </w:t>
            </w:r>
          </w:p>
          <w:p w14:paraId="219E80C4" w14:textId="77777777" w:rsidR="004618ED" w:rsidRPr="007B694E" w:rsidRDefault="004618ED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004A34E3" w14:textId="27BC8FCA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Adatelemzés</w:t>
            </w:r>
          </w:p>
        </w:tc>
      </w:tr>
      <w:tr w:rsidR="007B694E" w:rsidRPr="007B694E" w14:paraId="5AE5373C" w14:textId="77777777" w:rsidTr="007B694E">
        <w:tc>
          <w:tcPr>
            <w:tcW w:w="1413" w:type="dxa"/>
            <w:vMerge/>
            <w:shd w:val="clear" w:color="auto" w:fill="BFBFBF" w:themeFill="background1" w:themeFillShade="BF"/>
          </w:tcPr>
          <w:p w14:paraId="49E97A12" w14:textId="39441B25" w:rsidR="00BD07CE" w:rsidRPr="007B694E" w:rsidRDefault="00BD07CE" w:rsidP="00DA73FC">
            <w:pP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181" w:type="dxa"/>
            <w:gridSpan w:val="10"/>
            <w:shd w:val="clear" w:color="auto" w:fill="auto"/>
          </w:tcPr>
          <w:p w14:paraId="0ED1B0A1" w14:textId="5C364972" w:rsidR="003D47FF" w:rsidRPr="007B694E" w:rsidRDefault="00BD07CE" w:rsidP="00DA73FC">
            <w:pPr>
              <w:jc w:val="center"/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Részvétel publikációk elkészítésében</w:t>
            </w:r>
            <w:r w:rsidR="000179F6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, első szerzős publikáció(k) írása</w:t>
            </w:r>
          </w:p>
          <w:p w14:paraId="2BCC6256" w14:textId="1D71CCF5" w:rsidR="00BD07CE" w:rsidRPr="007B694E" w:rsidRDefault="003D47FF" w:rsidP="00DA73FC">
            <w:pPr>
              <w:jc w:val="center"/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K</w:t>
            </w:r>
            <w:r w:rsidR="00BD07CE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onferenciarészvétel (előadás, poszter)</w:t>
            </w:r>
          </w:p>
        </w:tc>
      </w:tr>
      <w:tr w:rsidR="007B694E" w:rsidRPr="007B694E" w14:paraId="31925574" w14:textId="77777777" w:rsidTr="007B694E">
        <w:trPr>
          <w:gridAfter w:val="1"/>
          <w:wAfter w:w="11" w:type="dxa"/>
        </w:trPr>
        <w:tc>
          <w:tcPr>
            <w:tcW w:w="1413" w:type="dxa"/>
            <w:vMerge/>
          </w:tcPr>
          <w:p w14:paraId="116B4EF0" w14:textId="77777777" w:rsidR="00BD07CE" w:rsidRPr="007B694E" w:rsidRDefault="00BD07CE" w:rsidP="00DA73FC">
            <w:pP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591" w:type="dxa"/>
            <w:gridSpan w:val="3"/>
          </w:tcPr>
          <w:p w14:paraId="58CC74FF" w14:textId="71A3314F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590" w:type="dxa"/>
            <w:gridSpan w:val="2"/>
          </w:tcPr>
          <w:p w14:paraId="013B7656" w14:textId="09776985" w:rsidR="00BD07CE" w:rsidRPr="007B694E" w:rsidRDefault="00BD07CE" w:rsidP="00DA73FC">
            <w:pP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 xml:space="preserve">Komplex vizsgára való felkészülés: </w:t>
            </w:r>
            <w:r w:rsidR="003D47FF"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 xml:space="preserve">főtárgy és melléktárgy témáinak kidolgozása; </w:t>
            </w: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a kutatás eddigi fázisainak és eredményeinek bemutatása; publikációs stratégia ismertetése</w:t>
            </w:r>
          </w:p>
          <w:p w14:paraId="2B1F67B0" w14:textId="77777777" w:rsidR="003D47FF" w:rsidRPr="007B694E" w:rsidRDefault="003D47FF" w:rsidP="00DA73FC">
            <w:pP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</w:p>
          <w:p w14:paraId="5CC01318" w14:textId="48B6FA42" w:rsidR="00BD07CE" w:rsidRPr="007B694E" w:rsidRDefault="003D47FF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Komplex vizsgára bocsátás minimum k</w:t>
            </w:r>
            <w:r w:rsidR="00BD07CE"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övetelmény</w:t>
            </w: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ei</w:t>
            </w:r>
            <w:r w:rsidR="00BD07CE"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 xml:space="preserve">: tanulmányi kreditek megszerzése; </w:t>
            </w: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 xml:space="preserve">a </w:t>
            </w:r>
            <w:r w:rsidR="00BD07CE"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kutatás</w:t>
            </w: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 xml:space="preserve"> adatgyűjtési fázisa</w:t>
            </w:r>
            <w:r w:rsidR="00BD07CE"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 xml:space="preserve">már </w:t>
            </w:r>
            <w:r w:rsidR="00BD07CE"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 xml:space="preserve">folyamatban; elemzésre alkalmas részadatbázis </w:t>
            </w: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megléte</w:t>
            </w:r>
            <w:r w:rsidR="00DA73FC"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 xml:space="preserve">; részelemzések bemutatása; legalább egy, </w:t>
            </w: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 xml:space="preserve">a disszertáció témájában </w:t>
            </w:r>
            <w:r w:rsidR="00DA73FC"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lastRenderedPageBreak/>
              <w:t xml:space="preserve">benyújtott </w:t>
            </w: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 xml:space="preserve">magyar vagy angol nyelvű </w:t>
            </w:r>
            <w:r w:rsidR="00DA73FC"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kézirat</w:t>
            </w:r>
            <w:r w:rsidRPr="007B694E"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  <w:t>; megbízható ütemterv a disszertációs fázis két (legfeljebb három) évére</w:t>
            </w:r>
          </w:p>
        </w:tc>
        <w:tc>
          <w:tcPr>
            <w:tcW w:w="6989" w:type="dxa"/>
            <w:gridSpan w:val="4"/>
          </w:tcPr>
          <w:p w14:paraId="4FA96B9D" w14:textId="77777777" w:rsidR="00BD07CE" w:rsidRPr="007B694E" w:rsidRDefault="00BD07CE" w:rsidP="00DA73FC">
            <w:pPr>
              <w:jc w:val="center"/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7B694E" w:rsidRPr="007B694E" w14:paraId="1CD35E7E" w14:textId="77777777" w:rsidTr="007B694E">
        <w:trPr>
          <w:gridAfter w:val="1"/>
          <w:wAfter w:w="11" w:type="dxa"/>
        </w:trPr>
        <w:tc>
          <w:tcPr>
            <w:tcW w:w="1413" w:type="dxa"/>
            <w:vMerge/>
          </w:tcPr>
          <w:p w14:paraId="0865E9E8" w14:textId="05BAE038" w:rsidR="00BD07CE" w:rsidRPr="007B694E" w:rsidRDefault="00BD07CE" w:rsidP="00DA73FC">
            <w:pP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181" w:type="dxa"/>
            <w:gridSpan w:val="5"/>
          </w:tcPr>
          <w:p w14:paraId="459BDB6D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989" w:type="dxa"/>
            <w:gridSpan w:val="4"/>
          </w:tcPr>
          <w:p w14:paraId="4726212C" w14:textId="418840B6" w:rsidR="00BD07CE" w:rsidRPr="007B694E" w:rsidRDefault="00BD07CE" w:rsidP="00DA73FC">
            <w:pPr>
              <w:jc w:val="center"/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Disszertáció írása</w:t>
            </w:r>
          </w:p>
        </w:tc>
      </w:tr>
      <w:tr w:rsidR="007B694E" w:rsidRPr="007B694E" w14:paraId="7B7E4A57" w14:textId="77777777" w:rsidTr="007B694E">
        <w:trPr>
          <w:gridAfter w:val="1"/>
          <w:wAfter w:w="11" w:type="dxa"/>
        </w:trPr>
        <w:tc>
          <w:tcPr>
            <w:tcW w:w="1413" w:type="dxa"/>
            <w:vMerge/>
          </w:tcPr>
          <w:p w14:paraId="3C5D7FEE" w14:textId="3C041565" w:rsidR="00BD07CE" w:rsidRPr="007B694E" w:rsidRDefault="00BD07CE" w:rsidP="00DA73FC">
            <w:pP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D0BC02D" w14:textId="0551574F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Doktori Műhelyeken</w:t>
            </w:r>
            <w:r w:rsidR="0008142C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 való részvétel</w:t>
            </w:r>
          </w:p>
        </w:tc>
        <w:tc>
          <w:tcPr>
            <w:tcW w:w="1746" w:type="dxa"/>
          </w:tcPr>
          <w:p w14:paraId="26D86FDE" w14:textId="1DEB070B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Doktori Műhelyeken</w:t>
            </w:r>
            <w:r w:rsidR="0008142C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 való részvétel</w:t>
            </w:r>
          </w:p>
          <w:p w14:paraId="3D74EAA2" w14:textId="77777777" w:rsidR="0008142C" w:rsidRPr="007B694E" w:rsidRDefault="0008142C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5848523E" w14:textId="6F5F7E15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PhD Napokon való részvétel</w:t>
            </w:r>
          </w:p>
        </w:tc>
        <w:tc>
          <w:tcPr>
            <w:tcW w:w="1892" w:type="dxa"/>
            <w:gridSpan w:val="2"/>
          </w:tcPr>
          <w:p w14:paraId="6987F002" w14:textId="197D1A1D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Doktori Műhelyeken</w:t>
            </w:r>
            <w:r w:rsidR="0008142C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 való részvétel</w:t>
            </w:r>
          </w:p>
        </w:tc>
        <w:tc>
          <w:tcPr>
            <w:tcW w:w="1795" w:type="dxa"/>
          </w:tcPr>
          <w:p w14:paraId="1F0F749D" w14:textId="0E2A10FC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Doktori Műhelyeken</w:t>
            </w:r>
            <w:r w:rsidR="0008142C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  <w:vertAlign w:val="superscript"/>
              </w:rPr>
              <w:t>2</w:t>
            </w: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 való részvétel</w:t>
            </w:r>
          </w:p>
          <w:p w14:paraId="7EDA5ACD" w14:textId="77777777" w:rsidR="0008142C" w:rsidRPr="007B694E" w:rsidRDefault="0008142C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  <w:p w14:paraId="2EF9767D" w14:textId="6D396716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PhD Napokon való részvétel (poszterrel vagy előadással)</w:t>
            </w:r>
          </w:p>
        </w:tc>
        <w:tc>
          <w:tcPr>
            <w:tcW w:w="1746" w:type="dxa"/>
          </w:tcPr>
          <w:p w14:paraId="33436FE1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</w:tcPr>
          <w:p w14:paraId="3D27D5BE" w14:textId="329407E4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</w:tcPr>
          <w:p w14:paraId="3C3FAD0B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71DE62B9" w14:textId="2946A1CB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Doktori Fórumon való részvétel</w:t>
            </w:r>
            <w:r w:rsidR="0008142C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  <w:vertAlign w:val="superscript"/>
              </w:rPr>
              <w:t>3</w:t>
            </w:r>
          </w:p>
        </w:tc>
      </w:tr>
      <w:tr w:rsidR="007B694E" w:rsidRPr="007B694E" w14:paraId="2F634E47" w14:textId="77777777" w:rsidTr="007B694E">
        <w:trPr>
          <w:gridAfter w:val="1"/>
          <w:wAfter w:w="11" w:type="dxa"/>
        </w:trPr>
        <w:tc>
          <w:tcPr>
            <w:tcW w:w="1413" w:type="dxa"/>
            <w:vMerge/>
          </w:tcPr>
          <w:p w14:paraId="5199A64B" w14:textId="77777777" w:rsidR="00BD07CE" w:rsidRPr="007B694E" w:rsidRDefault="00BD07CE" w:rsidP="00DA73FC">
            <w:pPr>
              <w:rPr>
                <w:rFonts w:ascii="Trebuchet MS" w:hAnsi="Trebuchet MS" w:cstheme="minorHAnsi"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E8D6B62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</w:tcPr>
          <w:p w14:paraId="625D43CD" w14:textId="15B9BD45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Progress Check – előrehaladási portfólió mappa</w:t>
            </w:r>
            <w:r w:rsidR="0008142C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  <w:vertAlign w:val="superscript"/>
              </w:rPr>
              <w:t>4</w:t>
            </w: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 xml:space="preserve"> elkészítése</w:t>
            </w:r>
          </w:p>
        </w:tc>
        <w:tc>
          <w:tcPr>
            <w:tcW w:w="1892" w:type="dxa"/>
            <w:gridSpan w:val="2"/>
          </w:tcPr>
          <w:p w14:paraId="2EFEE7F7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15B611" w14:textId="119EAF59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Progress Check – előrehaladási portfólió mappa</w:t>
            </w:r>
            <w:r w:rsidR="0008142C"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  <w:vertAlign w:val="superscript"/>
              </w:rPr>
              <w:t>4</w:t>
            </w: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  <w:vertAlign w:val="superscript"/>
              </w:rPr>
              <w:t xml:space="preserve"> </w:t>
            </w:r>
            <w:r w:rsidRPr="007B694E"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  <w:t>elkészítése</w:t>
            </w:r>
          </w:p>
        </w:tc>
        <w:tc>
          <w:tcPr>
            <w:tcW w:w="1746" w:type="dxa"/>
          </w:tcPr>
          <w:p w14:paraId="4FF65AA7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</w:tcPr>
          <w:p w14:paraId="3900A683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6" w:type="dxa"/>
          </w:tcPr>
          <w:p w14:paraId="6900D45E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FDFFFC0" w14:textId="77777777" w:rsidR="00BD07CE" w:rsidRPr="007B694E" w:rsidRDefault="00BD07CE" w:rsidP="00DA73FC">
            <w:pPr>
              <w:rPr>
                <w:rFonts w:ascii="Trebuchet MS" w:hAnsi="Trebuchet MS" w:cs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7B694E" w:rsidRPr="007B694E" w14:paraId="01A2EFAD" w14:textId="77777777" w:rsidTr="007B694E">
        <w:tblPrEx>
          <w:jc w:val="center"/>
        </w:tblPrEx>
        <w:trPr>
          <w:gridAfter w:val="1"/>
          <w:wAfter w:w="11" w:type="dxa"/>
          <w:jc w:val="center"/>
        </w:trPr>
        <w:tc>
          <w:tcPr>
            <w:tcW w:w="1413" w:type="dxa"/>
            <w:vAlign w:val="center"/>
            <w:hideMark/>
          </w:tcPr>
          <w:p w14:paraId="5C9CB970" w14:textId="77777777" w:rsidR="003B6B2F" w:rsidRPr="007B694E" w:rsidRDefault="003B6B2F" w:rsidP="00DA73FC">
            <w:pPr>
              <w:rPr>
                <w:rFonts w:ascii="Trebuchet MS" w:hAnsi="Trebuchet MS"/>
                <w:bCs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/>
                <w:b/>
                <w:bCs/>
                <w:color w:val="1F4E79" w:themeColor="accent1" w:themeShade="80"/>
                <w:sz w:val="20"/>
                <w:szCs w:val="20"/>
              </w:rPr>
              <w:t>Tanulmányi kredite</w:t>
            </w:r>
            <w:r w:rsidRPr="007B694E">
              <w:rPr>
                <w:rFonts w:ascii="Trebuchet MS" w:hAnsi="Trebuchet MS"/>
                <w:bCs/>
                <w:color w:val="1F4E79" w:themeColor="accent1" w:themeShade="80"/>
                <w:sz w:val="24"/>
                <w:szCs w:val="24"/>
              </w:rPr>
              <w:t>k</w:t>
            </w:r>
          </w:p>
        </w:tc>
        <w:tc>
          <w:tcPr>
            <w:tcW w:w="7181" w:type="dxa"/>
            <w:gridSpan w:val="5"/>
            <w:vAlign w:val="center"/>
            <w:hideMark/>
          </w:tcPr>
          <w:p w14:paraId="2BF8DDD5" w14:textId="17A247F1" w:rsidR="003B6B2F" w:rsidRPr="007B694E" w:rsidRDefault="003B6B2F" w:rsidP="00DA73FC">
            <w:pPr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  <w:t xml:space="preserve">Félévente a meghirdetett kötelező kurzusok felvétele (összesen a 4 félév alatt 8 kredit), illetve 8 kredit kötelezően választható kurzus felvétele preferált ütemezésben. </w:t>
            </w:r>
          </w:p>
          <w:p w14:paraId="42DD9AC2" w14:textId="77777777" w:rsidR="003B6B2F" w:rsidRPr="007B694E" w:rsidRDefault="003B6B2F" w:rsidP="00DA73FC">
            <w:pPr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</w:pPr>
          </w:p>
          <w:p w14:paraId="20F7BB53" w14:textId="16E04E63" w:rsidR="003B6B2F" w:rsidRPr="007B694E" w:rsidRDefault="003B6B2F" w:rsidP="00DA73FC">
            <w:pPr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  <w:t>A 4/3 programban kötelező</w:t>
            </w:r>
            <w:r w:rsidR="00C41E2E" w:rsidRPr="007B694E"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  <w:t xml:space="preserve"> kurzuso</w:t>
            </w:r>
            <w:r w:rsidRPr="007B694E"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  <w:t>k: Szociológia és mentálhigiéné I.; Szociológia és mentálhigiéné II.; Szociológia és mentálhigiéné III.; Társadalomtudományi kutatási módszerek; Statisztikai módszerek a társadalomtudományi kutatásokban</w:t>
            </w:r>
          </w:p>
          <w:p w14:paraId="7E4722A5" w14:textId="77777777" w:rsidR="003B6B2F" w:rsidRPr="007B694E" w:rsidRDefault="003B6B2F" w:rsidP="00DA73FC">
            <w:pPr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</w:pPr>
          </w:p>
          <w:p w14:paraId="0382E1F2" w14:textId="71839D94" w:rsidR="003B6B2F" w:rsidRPr="007B694E" w:rsidRDefault="003B6B2F" w:rsidP="00DA73FC">
            <w:pPr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</w:pPr>
            <w:r w:rsidRPr="007B694E"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  <w:t>Felzárkóztató kurzus</w:t>
            </w:r>
            <w:r w:rsidR="00C41E2E" w:rsidRPr="007B694E"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  <w:t>ok</w:t>
            </w:r>
            <w:r w:rsidRPr="007B694E"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  <w:t xml:space="preserve"> (kreditek jóváírás nélkül) kötelező</w:t>
            </w:r>
            <w:r w:rsidR="00C41E2E" w:rsidRPr="007B694E"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  <w:t>ek</w:t>
            </w:r>
            <w:r w:rsidRPr="007B694E"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  <w:t xml:space="preserve"> az alábbi tárgykörökben az alapképzés során oktatásban nem részesülő hallgatók számára: Pszichológia; Az adatelemzés alapjai; Társadalmi jelenségek vizsgálata</w:t>
            </w:r>
          </w:p>
        </w:tc>
        <w:tc>
          <w:tcPr>
            <w:tcW w:w="6989" w:type="dxa"/>
            <w:gridSpan w:val="4"/>
            <w:vAlign w:val="center"/>
          </w:tcPr>
          <w:p w14:paraId="4F22B5BD" w14:textId="77777777" w:rsidR="003B6B2F" w:rsidRPr="007B694E" w:rsidRDefault="003B6B2F" w:rsidP="00DA73FC">
            <w:pPr>
              <w:jc w:val="center"/>
              <w:rPr>
                <w:rFonts w:ascii="Trebuchet MS" w:hAnsi="Trebuchet MS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C501DFE" w14:textId="77777777" w:rsidR="00BD0E93" w:rsidRPr="007B694E" w:rsidRDefault="00BD0E93" w:rsidP="00DA73FC">
      <w:pPr>
        <w:spacing w:after="0" w:line="240" w:lineRule="auto"/>
        <w:rPr>
          <w:rFonts w:ascii="Trebuchet MS" w:hAnsi="Trebuchet MS" w:cstheme="minorHAnsi"/>
          <w:color w:val="1F4E79" w:themeColor="accent1" w:themeShade="80"/>
          <w:sz w:val="24"/>
          <w:szCs w:val="24"/>
          <w:vertAlign w:val="superscript"/>
        </w:rPr>
      </w:pPr>
    </w:p>
    <w:p w14:paraId="157ADF58" w14:textId="1D0943E0" w:rsidR="006A4692" w:rsidRPr="007B694E" w:rsidRDefault="00BD0E93" w:rsidP="007B694E">
      <w:pPr>
        <w:spacing w:after="120" w:line="240" w:lineRule="auto"/>
        <w:jc w:val="both"/>
        <w:rPr>
          <w:rFonts w:ascii="Trebuchet MS" w:hAnsi="Trebuchet MS" w:cstheme="minorHAnsi"/>
          <w:color w:val="1F4E79" w:themeColor="accent1" w:themeShade="80"/>
          <w:sz w:val="24"/>
          <w:szCs w:val="24"/>
        </w:rPr>
      </w:pPr>
      <w:r w:rsidRPr="007B694E">
        <w:rPr>
          <w:rFonts w:ascii="Trebuchet MS" w:hAnsi="Trebuchet MS" w:cstheme="minorHAnsi"/>
          <w:color w:val="1F4E79" w:themeColor="accent1" w:themeShade="80"/>
          <w:sz w:val="24"/>
          <w:szCs w:val="24"/>
          <w:vertAlign w:val="superscript"/>
        </w:rPr>
        <w:t>1</w:t>
      </w:r>
      <w:r w:rsidR="006A4692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Programunk a </w:t>
      </w:r>
      <w:r w:rsidR="006A4692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LimeSurvey platform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ot használja </w:t>
      </w:r>
      <w:r w:rsidR="006A4692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a hallgatók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előre</w:t>
      </w:r>
      <w:r w:rsidR="0008142C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haladásának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folyamatos nyomon követésére; minden hallgató</w:t>
      </w:r>
      <w:r w:rsidR="006A4692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havonta kitölti a 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rövid</w:t>
      </w:r>
      <w:r w:rsidR="006A4692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online kérdőívet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, amelyben beszámolnak: </w:t>
      </w:r>
      <w:r w:rsidR="0008142C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(1) a kutatási tevékenység elvégzett lépéseiről, aktuális folyamatairól; 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(</w:t>
      </w:r>
      <w:r w:rsidR="0008142C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2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) az olvasott szakirodal</w:t>
      </w:r>
      <w:r w:rsidR="00730E3C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mak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ról;</w:t>
      </w:r>
      <w:r w:rsidR="0008142C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(</w:t>
      </w:r>
      <w:r w:rsidR="0008142C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3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) a témavezetővel folytatott konzultációk témáiról; (</w:t>
      </w:r>
      <w:r w:rsidR="0008142C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4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) konferenci</w:t>
      </w:r>
      <w:r w:rsidR="00730E3C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a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részvétel</w:t>
      </w:r>
      <w:r w:rsidR="00C41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ük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ről és egyéb kutatással összefüggő tevékenységeikről, programjaikról. A témavezetők a félévek végén megkapják </w:t>
      </w:r>
      <w:r w:rsidR="00730E3C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a </w:t>
      </w:r>
      <w:r w:rsidR="00B21B37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részletes havi kimutatásokat, </w:t>
      </w:r>
      <w:r w:rsidR="00730E3C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ennek áttekintése is segíti a féléves kutatómunka értékelését.</w:t>
      </w:r>
    </w:p>
    <w:p w14:paraId="251BB304" w14:textId="3A7E4E7B" w:rsidR="001577A0" w:rsidRPr="007B694E" w:rsidRDefault="0008142C" w:rsidP="007B694E">
      <w:pPr>
        <w:tabs>
          <w:tab w:val="num" w:pos="720"/>
        </w:tabs>
        <w:spacing w:after="120" w:line="240" w:lineRule="auto"/>
        <w:jc w:val="both"/>
        <w:rPr>
          <w:rFonts w:ascii="Trebuchet MS" w:hAnsi="Trebuchet MS" w:cstheme="minorHAnsi"/>
          <w:color w:val="1F4E79" w:themeColor="accent1" w:themeShade="80"/>
          <w:sz w:val="24"/>
          <w:szCs w:val="24"/>
        </w:rPr>
      </w:pPr>
      <w:r w:rsidRPr="007B694E">
        <w:rPr>
          <w:rFonts w:ascii="Trebuchet MS" w:hAnsi="Trebuchet MS" w:cstheme="minorHAnsi"/>
          <w:color w:val="1F4E79" w:themeColor="accent1" w:themeShade="80"/>
          <w:sz w:val="24"/>
          <w:szCs w:val="24"/>
          <w:vertAlign w:val="superscript"/>
        </w:rPr>
        <w:t>2</w:t>
      </w:r>
      <w:r w:rsidR="00F47E04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</w:t>
      </w:r>
      <w:r w:rsidR="00F47E04" w:rsidRPr="007B694E">
        <w:rPr>
          <w:rFonts w:ascii="Trebuchet MS" w:hAnsi="Trebuchet MS" w:cstheme="minorHAnsi"/>
          <w:bCs/>
          <w:color w:val="1F4E79" w:themeColor="accent1" w:themeShade="80"/>
          <w:sz w:val="24"/>
          <w:szCs w:val="24"/>
        </w:rPr>
        <w:t>F</w:t>
      </w:r>
      <w:r w:rsidR="007B2560" w:rsidRPr="007B694E">
        <w:rPr>
          <w:rFonts w:ascii="Trebuchet MS" w:hAnsi="Trebuchet MS" w:cstheme="minorHAnsi"/>
          <w:bCs/>
          <w:color w:val="1F4E79" w:themeColor="accent1" w:themeShade="80"/>
          <w:sz w:val="24"/>
          <w:szCs w:val="24"/>
        </w:rPr>
        <w:t xml:space="preserve">élévente 2 Doktori Műhelyen kötelező </w:t>
      </w:r>
      <w:r w:rsidR="00C41E2E" w:rsidRPr="007B694E">
        <w:rPr>
          <w:rFonts w:ascii="Trebuchet MS" w:hAnsi="Trebuchet MS" w:cstheme="minorHAnsi"/>
          <w:bCs/>
          <w:color w:val="1F4E79" w:themeColor="accent1" w:themeShade="80"/>
          <w:sz w:val="24"/>
          <w:szCs w:val="24"/>
        </w:rPr>
        <w:t xml:space="preserve">a </w:t>
      </w:r>
      <w:r w:rsidR="007B2560" w:rsidRPr="007B694E">
        <w:rPr>
          <w:rFonts w:ascii="Trebuchet MS" w:hAnsi="Trebuchet MS" w:cstheme="minorHAnsi"/>
          <w:bCs/>
          <w:color w:val="1F4E79" w:themeColor="accent1" w:themeShade="80"/>
          <w:sz w:val="24"/>
          <w:szCs w:val="24"/>
        </w:rPr>
        <w:t>részvétel</w:t>
      </w:r>
      <w:r w:rsidR="00C41E2E" w:rsidRPr="007B694E">
        <w:rPr>
          <w:rFonts w:ascii="Trebuchet MS" w:hAnsi="Trebuchet MS" w:cstheme="minorHAnsi"/>
          <w:bCs/>
          <w:color w:val="1F4E79" w:themeColor="accent1" w:themeShade="80"/>
          <w:sz w:val="24"/>
          <w:szCs w:val="24"/>
        </w:rPr>
        <w:t xml:space="preserve">. Témák: </w:t>
      </w:r>
      <w:r w:rsidR="007B2560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őszi félévben </w:t>
      </w:r>
      <w:r w:rsidR="00C41E2E" w:rsidRPr="007B694E">
        <w:rPr>
          <w:rFonts w:ascii="Trebuchet MS" w:hAnsi="Trebuchet MS" w:cstheme="minorHAnsi"/>
          <w:bCs/>
          <w:color w:val="1F4E79" w:themeColor="accent1" w:themeShade="80"/>
          <w:sz w:val="24"/>
          <w:szCs w:val="24"/>
        </w:rPr>
        <w:t>előrehaladási beszámoló</w:t>
      </w:r>
      <w:r w:rsidR="00C41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</w:t>
      </w:r>
      <w:r w:rsidR="007B2560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a kutatási tervről (I. évesek) / a kutatás</w:t>
      </w:r>
      <w:r w:rsidR="00C41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aktuális</w:t>
      </w:r>
      <w:r w:rsidR="007B2560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állásáról (II. évesek)</w:t>
      </w:r>
      <w:r w:rsidR="00C41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,</w:t>
      </w:r>
      <w:r w:rsidR="007B2560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valamint egy</w:t>
      </w:r>
      <w:r w:rsidR="00C41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magyar vagy angol nyelvű</w:t>
      </w:r>
      <w:r w:rsidR="007B2560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szakcikk egy részének megírása, megvitatása kiscsoportban; tavaszi félévben a PhD Napokra való készülés, </w:t>
      </w:r>
      <w:r w:rsidR="00C41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prezentációk</w:t>
      </w:r>
      <w:r w:rsidR="007B2560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gyakorlása</w:t>
      </w:r>
      <w:r w:rsidR="00C41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, valamint szóbeli és írásbeli előrehaladási beszámoló.</w:t>
      </w:r>
    </w:p>
    <w:p w14:paraId="503D9230" w14:textId="0D294325" w:rsidR="00F47E04" w:rsidRPr="007B694E" w:rsidRDefault="0008142C" w:rsidP="007B694E">
      <w:pPr>
        <w:spacing w:after="120" w:line="240" w:lineRule="auto"/>
        <w:jc w:val="both"/>
        <w:rPr>
          <w:rFonts w:ascii="Trebuchet MS" w:hAnsi="Trebuchet MS" w:cstheme="minorHAnsi"/>
          <w:color w:val="1F4E79" w:themeColor="accent1" w:themeShade="80"/>
          <w:sz w:val="24"/>
          <w:szCs w:val="24"/>
        </w:rPr>
      </w:pPr>
      <w:r w:rsidRPr="007B694E">
        <w:rPr>
          <w:rFonts w:ascii="Trebuchet MS" w:hAnsi="Trebuchet MS" w:cstheme="minorHAnsi"/>
          <w:color w:val="1F4E79" w:themeColor="accent1" w:themeShade="80"/>
          <w:sz w:val="24"/>
          <w:szCs w:val="24"/>
          <w:vertAlign w:val="superscript"/>
        </w:rPr>
        <w:t>3</w:t>
      </w:r>
      <w:r w:rsidR="00F47E04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Évi egy alkalommal </w:t>
      </w:r>
      <w:r w:rsidR="00C41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kerül megrendezésre a </w:t>
      </w:r>
      <w:r w:rsidR="00F47E04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Doktori Fórum</w:t>
      </w:r>
      <w:r w:rsidR="00C41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i</w:t>
      </w:r>
      <w:r w:rsidR="00F47E04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ntézeti oktatóink részvételével</w:t>
      </w:r>
      <w:r w:rsidR="00C41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, ahová a disszertáció munkahelyi </w:t>
      </w:r>
      <w:r w:rsidR="00764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vitára való </w:t>
      </w:r>
      <w:r w:rsidR="00C41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benyújtása előtti félévekben várjuk PhD hallgatóinkat</w:t>
      </w:r>
      <w:r w:rsidR="00F47E04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</w:t>
      </w:r>
      <w:r w:rsidR="00764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egy </w:t>
      </w:r>
      <w:r w:rsidR="00F47E04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előadás</w:t>
      </w:r>
      <w:r w:rsidR="00764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ra</w:t>
      </w:r>
      <w:r w:rsidR="00F47E04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 és vit</w:t>
      </w:r>
      <w:r w:rsidR="00764E2E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ára.</w:t>
      </w:r>
    </w:p>
    <w:p w14:paraId="59A40271" w14:textId="4043D55C" w:rsidR="0008142C" w:rsidRPr="007B694E" w:rsidRDefault="0008142C" w:rsidP="007B694E">
      <w:pPr>
        <w:spacing w:after="120" w:line="240" w:lineRule="auto"/>
        <w:jc w:val="both"/>
        <w:rPr>
          <w:rFonts w:ascii="Trebuchet MS" w:hAnsi="Trebuchet MS" w:cstheme="minorHAnsi"/>
          <w:color w:val="1F4E79" w:themeColor="accent1" w:themeShade="80"/>
          <w:sz w:val="24"/>
          <w:szCs w:val="24"/>
          <w:vertAlign w:val="superscript"/>
        </w:rPr>
      </w:pPr>
      <w:r w:rsidRPr="007B694E">
        <w:rPr>
          <w:rFonts w:ascii="Trebuchet MS" w:hAnsi="Trebuchet MS" w:cstheme="minorHAnsi"/>
          <w:color w:val="1F4E79" w:themeColor="accent1" w:themeShade="80"/>
          <w:sz w:val="24"/>
          <w:szCs w:val="24"/>
          <w:vertAlign w:val="superscript"/>
        </w:rPr>
        <w:t xml:space="preserve">4 </w:t>
      </w:r>
      <w:r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Az előrehaladási portfólió mappa tartalma: (1) Az őszi első műhelyre készített beszámoló a kutatási tervről (I. évfolyam), illetve a kutatás aktuális állásáról (</w:t>
      </w:r>
      <w:r w:rsidR="00D7717D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II. évfolyam</w:t>
      </w:r>
      <w:r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>)</w:t>
      </w:r>
      <w:r w:rsidR="00D7717D" w:rsidRPr="007B694E">
        <w:rPr>
          <w:rFonts w:ascii="Trebuchet MS" w:hAnsi="Trebuchet MS" w:cstheme="minorHAnsi"/>
          <w:color w:val="1F4E79" w:themeColor="accent1" w:themeShade="80"/>
          <w:sz w:val="24"/>
          <w:szCs w:val="24"/>
        </w:rPr>
        <w:t xml:space="preserve">, a hallgatóságtól kapott visszajelzések, javaslatok jegyzete; (2) Az őszi második műhelyre készített kézirat, illetve a két hallgatói bírálat, valamint a hallgatóságtól kapott visszajelzések, javaslatok jegyzete; (3) A tavaszi első műhelyre készített szóban röviden bemutatott írásos beszámoló a tanévben elvégzett kutatási tevékenységről, tanulmányi tapasztalatokról; PhD napokra tervezett prezentációk terve; (4) a tavaszi második műhelyen előadott PhD napokra tervezett prezentációk eredeti és javaslatok után módosított végleges verziója; (5) a LimeSurvey-n vezetett előrehaladási jegyzet Excel formátumban. A portfóliót a hallgató készíti el, a témavezető jóváhagyja és értékeli, amit a program vezetője ellenjegyez. </w:t>
      </w:r>
    </w:p>
    <w:sectPr w:rsidR="0008142C" w:rsidRPr="007B694E" w:rsidSect="00BB0E4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FE954" w14:textId="77777777" w:rsidR="004258D0" w:rsidRDefault="004258D0" w:rsidP="00563412">
      <w:pPr>
        <w:spacing w:after="0" w:line="240" w:lineRule="auto"/>
      </w:pPr>
      <w:r>
        <w:separator/>
      </w:r>
    </w:p>
  </w:endnote>
  <w:endnote w:type="continuationSeparator" w:id="0">
    <w:p w14:paraId="48D4F8F8" w14:textId="77777777" w:rsidR="004258D0" w:rsidRDefault="004258D0" w:rsidP="0056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401800"/>
      <w:docPartObj>
        <w:docPartGallery w:val="Page Numbers (Bottom of Page)"/>
        <w:docPartUnique/>
      </w:docPartObj>
    </w:sdtPr>
    <w:sdtEndPr>
      <w:rPr>
        <w:color w:val="1F4E79" w:themeColor="accent1" w:themeShade="80"/>
      </w:rPr>
    </w:sdtEndPr>
    <w:sdtContent>
      <w:p w14:paraId="1A1DF1DA" w14:textId="5A7CD5CD" w:rsidR="00563412" w:rsidRDefault="00563412" w:rsidP="00563412">
        <w:pPr>
          <w:pStyle w:val="llb"/>
          <w:jc w:val="center"/>
        </w:pPr>
      </w:p>
      <w:p w14:paraId="0EAEF2C5" w14:textId="50A0713C" w:rsidR="00563412" w:rsidRPr="00563412" w:rsidRDefault="00563412">
        <w:pPr>
          <w:pStyle w:val="llb"/>
          <w:jc w:val="right"/>
          <w:rPr>
            <w:color w:val="1F4E79" w:themeColor="accent1" w:themeShade="80"/>
          </w:rPr>
        </w:pPr>
        <w:r w:rsidRPr="00563412">
          <w:rPr>
            <w:color w:val="1F4E79" w:themeColor="accent1" w:themeShade="80"/>
          </w:rPr>
          <w:fldChar w:fldCharType="begin"/>
        </w:r>
        <w:r w:rsidRPr="00563412">
          <w:rPr>
            <w:color w:val="1F4E79" w:themeColor="accent1" w:themeShade="80"/>
          </w:rPr>
          <w:instrText>PAGE   \* MERGEFORMAT</w:instrText>
        </w:r>
        <w:r w:rsidRPr="00563412">
          <w:rPr>
            <w:color w:val="1F4E79" w:themeColor="accent1" w:themeShade="80"/>
          </w:rPr>
          <w:fldChar w:fldCharType="separate"/>
        </w:r>
        <w:r w:rsidR="007B694E">
          <w:rPr>
            <w:noProof/>
            <w:color w:val="1F4E79" w:themeColor="accent1" w:themeShade="80"/>
          </w:rPr>
          <w:t>6</w:t>
        </w:r>
        <w:r w:rsidRPr="00563412">
          <w:rPr>
            <w:color w:val="1F4E79" w:themeColor="accent1" w:themeShade="80"/>
          </w:rPr>
          <w:fldChar w:fldCharType="end"/>
        </w:r>
      </w:p>
    </w:sdtContent>
  </w:sdt>
  <w:p w14:paraId="74724540" w14:textId="01485046" w:rsidR="00563412" w:rsidRPr="00563412" w:rsidRDefault="00563412">
    <w:pPr>
      <w:pStyle w:val="llb"/>
      <w:rPr>
        <w:color w:val="1F4E79" w:themeColor="accent1" w:themeShade="80"/>
      </w:rPr>
    </w:pPr>
    <w:r w:rsidRPr="009F1018">
      <w:rPr>
        <w:color w:val="1F4E79" w:themeColor="accent1" w:themeShade="80"/>
      </w:rPr>
      <w:t>SE-MEDI_kutatás_értékelés_4_</w:t>
    </w:r>
    <w:r w:rsidR="007B694E">
      <w:rPr>
        <w:color w:val="1F4E79" w:themeColor="accent1" w:themeShade="80"/>
      </w:rPr>
      <w:t>3</w:t>
    </w:r>
    <w:r w:rsidRPr="009F1018">
      <w:rPr>
        <w:color w:val="1F4E79" w:themeColor="accent1" w:themeShade="80"/>
      </w:rPr>
      <w:t>_program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4C9D7" w14:textId="77777777" w:rsidR="004258D0" w:rsidRDefault="004258D0" w:rsidP="00563412">
      <w:pPr>
        <w:spacing w:after="0" w:line="240" w:lineRule="auto"/>
      </w:pPr>
      <w:r>
        <w:separator/>
      </w:r>
    </w:p>
  </w:footnote>
  <w:footnote w:type="continuationSeparator" w:id="0">
    <w:p w14:paraId="2C918DF4" w14:textId="77777777" w:rsidR="004258D0" w:rsidRDefault="004258D0" w:rsidP="0056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52"/>
    </w:tblGrid>
    <w:tr w:rsidR="00563412" w:rsidRPr="009F1018" w14:paraId="07E28DDA" w14:textId="77777777" w:rsidTr="00D630A5">
      <w:trPr>
        <w:trHeight w:val="450"/>
      </w:trPr>
      <w:tc>
        <w:tcPr>
          <w:tcW w:w="10206" w:type="dxa"/>
          <w:vMerge w:val="restart"/>
          <w:tcBorders>
            <w:top w:val="nil"/>
            <w:left w:val="nil"/>
            <w:bottom w:val="single" w:sz="4" w:space="0" w:color="E3D496"/>
            <w:right w:val="nil"/>
          </w:tcBorders>
          <w:shd w:val="clear" w:color="auto" w:fill="auto"/>
          <w:noWrap/>
          <w:vAlign w:val="bottom"/>
          <w:hideMark/>
        </w:tcPr>
        <w:p w14:paraId="77712E06" w14:textId="77777777" w:rsidR="00563412" w:rsidRPr="009F1018" w:rsidRDefault="00563412" w:rsidP="00563412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hu-HU"/>
            </w:rPr>
          </w:pPr>
          <w:r w:rsidRPr="009F1018">
            <w:rPr>
              <w:rFonts w:ascii="Calibri" w:eastAsia="Times New Roman" w:hAnsi="Calibri" w:cs="Calibri"/>
              <w:noProof/>
              <w:color w:val="000000"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43D481CC" wp14:editId="4A84577C">
                <wp:simplePos x="0" y="0"/>
                <wp:positionH relativeFrom="margin">
                  <wp:posOffset>-44450</wp:posOffset>
                </wp:positionH>
                <wp:positionV relativeFrom="paragraph">
                  <wp:posOffset>-347980</wp:posOffset>
                </wp:positionV>
                <wp:extent cx="2057400" cy="685800"/>
                <wp:effectExtent l="0" t="0" r="0" b="0"/>
                <wp:wrapNone/>
                <wp:docPr id="2" name="Kép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10212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12"/>
          </w:tblGrid>
          <w:tr w:rsidR="00563412" w:rsidRPr="009F1018" w14:paraId="2841ABCC" w14:textId="77777777" w:rsidTr="00D630A5">
            <w:trPr>
              <w:trHeight w:val="269"/>
              <w:tblCellSpacing w:w="0" w:type="dxa"/>
            </w:trPr>
            <w:tc>
              <w:tcPr>
                <w:tcW w:w="10212" w:type="dxa"/>
                <w:vMerge w:val="restart"/>
                <w:tcBorders>
                  <w:top w:val="nil"/>
                  <w:left w:val="nil"/>
                  <w:bottom w:val="single" w:sz="4" w:space="0" w:color="E3D496"/>
                  <w:right w:val="nil"/>
                </w:tcBorders>
                <w:shd w:val="clear" w:color="auto" w:fill="auto"/>
                <w:noWrap/>
                <w:vAlign w:val="bottom"/>
              </w:tcPr>
              <w:p w14:paraId="4BFF9D48" w14:textId="77777777" w:rsidR="00563412" w:rsidRPr="009F1018" w:rsidRDefault="00563412" w:rsidP="0056341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</w:p>
            </w:tc>
          </w:tr>
          <w:tr w:rsidR="00563412" w:rsidRPr="009F1018" w14:paraId="16F805D7" w14:textId="77777777" w:rsidTr="00D630A5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single" w:sz="4" w:space="0" w:color="E3D496"/>
                  <w:right w:val="nil"/>
                </w:tcBorders>
                <w:vAlign w:val="center"/>
              </w:tcPr>
              <w:p w14:paraId="7A688660" w14:textId="77777777" w:rsidR="00563412" w:rsidRPr="009F1018" w:rsidRDefault="00563412" w:rsidP="0056341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hu-HU"/>
                  </w:rPr>
                </w:pPr>
              </w:p>
            </w:tc>
          </w:tr>
        </w:tbl>
        <w:p w14:paraId="4404D169" w14:textId="77777777" w:rsidR="00563412" w:rsidRPr="009F1018" w:rsidRDefault="00563412" w:rsidP="00563412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hu-HU"/>
            </w:rPr>
          </w:pPr>
        </w:p>
      </w:tc>
    </w:tr>
    <w:tr w:rsidR="00563412" w:rsidRPr="009F1018" w14:paraId="5D476AE1" w14:textId="77777777" w:rsidTr="00D630A5">
      <w:trPr>
        <w:trHeight w:val="286"/>
      </w:trPr>
      <w:tc>
        <w:tcPr>
          <w:tcW w:w="10206" w:type="dxa"/>
          <w:vMerge/>
          <w:tcBorders>
            <w:top w:val="nil"/>
            <w:left w:val="nil"/>
            <w:bottom w:val="single" w:sz="4" w:space="0" w:color="E3D496"/>
            <w:right w:val="nil"/>
          </w:tcBorders>
          <w:vAlign w:val="center"/>
          <w:hideMark/>
        </w:tcPr>
        <w:p w14:paraId="19689C78" w14:textId="77777777" w:rsidR="00563412" w:rsidRPr="009F1018" w:rsidRDefault="00563412" w:rsidP="00563412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hu-HU"/>
            </w:rPr>
          </w:pPr>
        </w:p>
      </w:tc>
    </w:tr>
    <w:tr w:rsidR="00563412" w:rsidRPr="009F1018" w14:paraId="718E9EEF" w14:textId="77777777" w:rsidTr="00D630A5">
      <w:trPr>
        <w:trHeight w:val="321"/>
      </w:trPr>
      <w:tc>
        <w:tcPr>
          <w:tcW w:w="10206" w:type="dxa"/>
          <w:vMerge/>
          <w:tcBorders>
            <w:top w:val="nil"/>
            <w:left w:val="nil"/>
            <w:bottom w:val="single" w:sz="4" w:space="0" w:color="E3D496"/>
            <w:right w:val="nil"/>
          </w:tcBorders>
          <w:vAlign w:val="center"/>
          <w:hideMark/>
        </w:tcPr>
        <w:p w14:paraId="17DC17ED" w14:textId="77777777" w:rsidR="00563412" w:rsidRPr="009F1018" w:rsidRDefault="00563412" w:rsidP="00563412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hu-HU"/>
            </w:rPr>
          </w:pPr>
        </w:p>
      </w:tc>
    </w:tr>
    <w:tr w:rsidR="00563412" w:rsidRPr="009F1018" w14:paraId="0F0B6954" w14:textId="77777777" w:rsidTr="00D630A5">
      <w:trPr>
        <w:trHeight w:val="286"/>
      </w:trPr>
      <w:tc>
        <w:tcPr>
          <w:tcW w:w="10206" w:type="dxa"/>
          <w:vMerge/>
          <w:tcBorders>
            <w:top w:val="nil"/>
            <w:left w:val="nil"/>
            <w:bottom w:val="single" w:sz="4" w:space="0" w:color="E3D496"/>
            <w:right w:val="nil"/>
          </w:tcBorders>
          <w:vAlign w:val="center"/>
          <w:hideMark/>
        </w:tcPr>
        <w:p w14:paraId="07742DBD" w14:textId="77777777" w:rsidR="00563412" w:rsidRPr="009F1018" w:rsidRDefault="00563412" w:rsidP="00563412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hu-HU"/>
            </w:rPr>
          </w:pPr>
        </w:p>
      </w:tc>
    </w:tr>
  </w:tbl>
  <w:p w14:paraId="16FAFCDA" w14:textId="77777777" w:rsidR="00563412" w:rsidRDefault="005634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1EC6"/>
    <w:multiLevelType w:val="hybridMultilevel"/>
    <w:tmpl w:val="057E221E"/>
    <w:lvl w:ilvl="0" w:tplc="832CB59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4855"/>
    <w:multiLevelType w:val="hybridMultilevel"/>
    <w:tmpl w:val="3362B982"/>
    <w:lvl w:ilvl="0" w:tplc="254E9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2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4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5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8F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6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E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C4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CD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76389B"/>
    <w:multiLevelType w:val="hybridMultilevel"/>
    <w:tmpl w:val="D27A53EA"/>
    <w:lvl w:ilvl="0" w:tplc="2780A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C7A45"/>
    <w:multiLevelType w:val="hybridMultilevel"/>
    <w:tmpl w:val="3482C642"/>
    <w:lvl w:ilvl="0" w:tplc="4FD87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212E5"/>
    <w:multiLevelType w:val="hybridMultilevel"/>
    <w:tmpl w:val="DFBAA1D2"/>
    <w:lvl w:ilvl="0" w:tplc="6068D27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EC"/>
    <w:rsid w:val="000179F6"/>
    <w:rsid w:val="0008142C"/>
    <w:rsid w:val="001577A0"/>
    <w:rsid w:val="0024638D"/>
    <w:rsid w:val="00275F89"/>
    <w:rsid w:val="00277FFB"/>
    <w:rsid w:val="002C756B"/>
    <w:rsid w:val="00312E11"/>
    <w:rsid w:val="003219BC"/>
    <w:rsid w:val="00325BB9"/>
    <w:rsid w:val="003526C7"/>
    <w:rsid w:val="003B6B2F"/>
    <w:rsid w:val="003D47FF"/>
    <w:rsid w:val="004258D0"/>
    <w:rsid w:val="004618ED"/>
    <w:rsid w:val="00494A4B"/>
    <w:rsid w:val="004E43AF"/>
    <w:rsid w:val="00563412"/>
    <w:rsid w:val="0058191B"/>
    <w:rsid w:val="006A4692"/>
    <w:rsid w:val="006F2A99"/>
    <w:rsid w:val="00703C2E"/>
    <w:rsid w:val="00715CB6"/>
    <w:rsid w:val="00730E3C"/>
    <w:rsid w:val="0073674E"/>
    <w:rsid w:val="00764E2E"/>
    <w:rsid w:val="007B2560"/>
    <w:rsid w:val="007B694E"/>
    <w:rsid w:val="00886AA5"/>
    <w:rsid w:val="008D1A25"/>
    <w:rsid w:val="009006EC"/>
    <w:rsid w:val="00912720"/>
    <w:rsid w:val="009A0CF3"/>
    <w:rsid w:val="009A480B"/>
    <w:rsid w:val="00A05DD8"/>
    <w:rsid w:val="00B21B37"/>
    <w:rsid w:val="00B85001"/>
    <w:rsid w:val="00BB0E4B"/>
    <w:rsid w:val="00BD07CE"/>
    <w:rsid w:val="00BD0E93"/>
    <w:rsid w:val="00C41E2E"/>
    <w:rsid w:val="00C818DD"/>
    <w:rsid w:val="00D15FB7"/>
    <w:rsid w:val="00D7717D"/>
    <w:rsid w:val="00DA73FC"/>
    <w:rsid w:val="00DC115F"/>
    <w:rsid w:val="00EA265D"/>
    <w:rsid w:val="00F47667"/>
    <w:rsid w:val="00F47E04"/>
    <w:rsid w:val="00F767F0"/>
    <w:rsid w:val="00FA5889"/>
    <w:rsid w:val="00FC38BF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A196"/>
  <w15:chartTrackingRefBased/>
  <w15:docId w15:val="{F502BAE9-4883-4618-AB7D-FFDB2A79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0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06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3412"/>
  </w:style>
  <w:style w:type="paragraph" w:styleId="llb">
    <w:name w:val="footer"/>
    <w:basedOn w:val="Norml"/>
    <w:link w:val="llbChar"/>
    <w:uiPriority w:val="99"/>
    <w:unhideWhenUsed/>
    <w:rsid w:val="0056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Bódizs Róbert</dc:creator>
  <cp:keywords/>
  <dc:description/>
  <cp:lastModifiedBy>Horváth Anikó</cp:lastModifiedBy>
  <cp:revision>2</cp:revision>
  <dcterms:created xsi:type="dcterms:W3CDTF">2022-12-27T12:23:00Z</dcterms:created>
  <dcterms:modified xsi:type="dcterms:W3CDTF">2022-12-27T12:23:00Z</dcterms:modified>
</cp:coreProperties>
</file>