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816" w14:textId="13B8134A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3E5184BF">
            <wp:simplePos x="0" y="0"/>
            <wp:positionH relativeFrom="column">
              <wp:posOffset>2744129</wp:posOffset>
            </wp:positionH>
            <wp:positionV relativeFrom="paragraph">
              <wp:posOffset>-438150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78C0CB1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2D9">
        <w:rPr>
          <w:sz w:val="30"/>
          <w:szCs w:val="30"/>
          <w:lang w:val="hu-HU"/>
        </w:rPr>
        <w:t>BIZONYÍTÉKOKON ALAPULÓ DÖNTÉSHOZATAL: EREDMÉNYEK ÉS KIHÍVÁSOK A GYERMEKGYÓGYÁSZATBAN</w:t>
      </w:r>
    </w:p>
    <w:p w14:paraId="57DDF8CA" w14:textId="77777777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7777777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5D3B320B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1052D9">
        <w:rPr>
          <w:b/>
          <w:color w:val="007CB7" w:themeColor="background2"/>
          <w:sz w:val="22"/>
          <w:szCs w:val="22"/>
          <w:lang w:val="hu-HU"/>
        </w:rPr>
        <w:t>2. november 25-26.</w:t>
      </w:r>
    </w:p>
    <w:p w14:paraId="3A0AECCC" w14:textId="39180E6F" w:rsidR="00913600" w:rsidRDefault="001052D9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Somogy Megyei Kaposi Mór Oktató Kórház</w:t>
      </w:r>
    </w:p>
    <w:p w14:paraId="60DEB141" w14:textId="126ACB14" w:rsidR="00913600" w:rsidRDefault="001052D9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7400 Kaposvár, Németh István fasor</w:t>
      </w:r>
    </w:p>
    <w:p w14:paraId="134DAD71" w14:textId="74EFBE01" w:rsidR="00823152" w:rsidRPr="00913600" w:rsidRDefault="001052D9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IV. emelet Dr. Rumi György Konferenciaterem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3F84971F" w:rsidR="00F053A8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1. nap: november </w:t>
      </w:r>
      <w:r w:rsidR="001052D9">
        <w:rPr>
          <w:color w:val="002D64" w:themeColor="text2"/>
          <w:sz w:val="20"/>
          <w:szCs w:val="20"/>
          <w:lang w:val="hu-HU"/>
        </w:rPr>
        <w:t>25</w:t>
      </w:r>
      <w:r w:rsidRPr="002417C0">
        <w:rPr>
          <w:color w:val="002D64" w:themeColor="text2"/>
          <w:sz w:val="20"/>
          <w:szCs w:val="20"/>
          <w:lang w:val="hu-HU"/>
        </w:rPr>
        <w:t>. péntek, 1</w:t>
      </w:r>
      <w:r w:rsidR="00913600">
        <w:rPr>
          <w:color w:val="002D64" w:themeColor="text2"/>
          <w:sz w:val="20"/>
          <w:szCs w:val="20"/>
          <w:lang w:val="hu-HU"/>
        </w:rPr>
        <w:t>2: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Pr="002417C0">
        <w:rPr>
          <w:color w:val="002D64" w:themeColor="text2"/>
          <w:sz w:val="20"/>
          <w:szCs w:val="20"/>
          <w:lang w:val="hu-HU"/>
        </w:rPr>
        <w:t xml:space="preserve"> - 1</w:t>
      </w:r>
      <w:r w:rsidR="001052D9">
        <w:rPr>
          <w:color w:val="002D64" w:themeColor="text2"/>
          <w:sz w:val="20"/>
          <w:szCs w:val="20"/>
          <w:lang w:val="hu-HU"/>
        </w:rPr>
        <w:t>7</w:t>
      </w:r>
      <w:r w:rsidRPr="002417C0">
        <w:rPr>
          <w:color w:val="002D64" w:themeColor="text2"/>
          <w:sz w:val="20"/>
          <w:szCs w:val="20"/>
          <w:lang w:val="hu-HU"/>
        </w:rPr>
        <w:t>:00</w:t>
      </w:r>
    </w:p>
    <w:p w14:paraId="2360EA6E" w14:textId="6DDF4C70" w:rsidR="00862FE5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2. nap: november </w:t>
      </w:r>
      <w:r w:rsidR="00823152" w:rsidRPr="002417C0">
        <w:rPr>
          <w:color w:val="002D64" w:themeColor="text2"/>
          <w:sz w:val="20"/>
          <w:szCs w:val="20"/>
          <w:lang w:val="hu-HU"/>
        </w:rPr>
        <w:t>2</w:t>
      </w:r>
      <w:r w:rsidR="001052D9">
        <w:rPr>
          <w:color w:val="002D64" w:themeColor="text2"/>
          <w:sz w:val="20"/>
          <w:szCs w:val="20"/>
          <w:lang w:val="hu-HU"/>
        </w:rPr>
        <w:t>6</w:t>
      </w:r>
      <w:r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77777777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77777777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77777777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> 536 000 mellék 38763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77777777" w:rsidR="00862FE5" w:rsidRPr="00AA2B9D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6214C873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9D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cochrane@pte.hu</w:t>
      </w:r>
    </w:p>
    <w:p w14:paraId="6ED482CB" w14:textId="77777777" w:rsidR="00862FE5" w:rsidRPr="00F35CC9" w:rsidRDefault="00862FE5" w:rsidP="00CA633B">
      <w:pPr>
        <w:pStyle w:val="SectionTitle"/>
        <w:spacing w:before="360" w:after="12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77777777" w:rsidR="00862FE5" w:rsidRPr="002417C0" w:rsidRDefault="00862FE5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1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5356C578" w14:textId="77777777" w:rsidR="00862FE5" w:rsidRPr="002417C0" w:rsidRDefault="00862FE5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</w:p>
    <w:p w14:paraId="42E266F5" w14:textId="77777777" w:rsidR="00E50432" w:rsidRDefault="008E1391" w:rsidP="00823152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F35CC9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525ADFDC" wp14:editId="034ACCF9">
            <wp:simplePos x="0" y="0"/>
            <wp:positionH relativeFrom="margin">
              <wp:posOffset>868778</wp:posOffset>
            </wp:positionH>
            <wp:positionV relativeFrom="paragraph">
              <wp:posOffset>151130</wp:posOffset>
            </wp:positionV>
            <wp:extent cx="2019300" cy="620395"/>
            <wp:effectExtent l="0" t="0" r="0" b="825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cs_new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4A118" w14:textId="77777777" w:rsidR="00E50432" w:rsidRDefault="00E50432" w:rsidP="00823152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235825FD" w14:textId="77777777" w:rsidR="00481C64" w:rsidRDefault="00481C64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6567847C" w14:textId="6FF76E39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</w:t>
      </w:r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3952D45F" w:rsidR="00862FE5" w:rsidRPr="00E50432" w:rsidRDefault="001052D9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Aneszteziológus, 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>
        <w:rPr>
          <w:i/>
          <w:color w:val="002D64" w:themeColor="text2"/>
          <w:sz w:val="18"/>
          <w:szCs w:val="18"/>
          <w:lang w:val="hu-HU"/>
        </w:rPr>
        <w:t>,</w:t>
      </w:r>
      <w:r>
        <w:rPr>
          <w:i/>
          <w:color w:val="002D64" w:themeColor="text2"/>
          <w:sz w:val="18"/>
          <w:szCs w:val="18"/>
          <w:lang w:val="hu-HU"/>
        </w:rPr>
        <w:t xml:space="preserve"> c</w:t>
      </w:r>
      <w:r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gyermek </w:t>
      </w:r>
      <w:r>
        <w:rPr>
          <w:i/>
          <w:color w:val="002D64" w:themeColor="text2"/>
          <w:sz w:val="18"/>
          <w:szCs w:val="18"/>
          <w:lang w:val="hu-HU"/>
        </w:rPr>
        <w:t>pszichiáter, gyermeksebész, kardiológus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, nefrológus, tüdőgyógyász </w:t>
      </w:r>
      <w:r w:rsidR="00F35E06">
        <w:rPr>
          <w:i/>
          <w:color w:val="002D64" w:themeColor="text2"/>
          <w:sz w:val="18"/>
          <w:szCs w:val="18"/>
          <w:lang w:val="hu-HU"/>
        </w:rPr>
        <w:t>szakorvosok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>,</w:t>
      </w:r>
      <w:r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>
        <w:rPr>
          <w:b/>
          <w:color w:val="002D64" w:themeColor="text2"/>
          <w:sz w:val="18"/>
          <w:szCs w:val="18"/>
          <w:lang w:val="hu-HU"/>
        </w:rPr>
        <w:t>18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31BFA270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1052D9">
        <w:rPr>
          <w:b/>
          <w:color w:val="002D64" w:themeColor="text2"/>
          <w:sz w:val="18"/>
          <w:szCs w:val="18"/>
          <w:lang w:val="hu-HU"/>
        </w:rPr>
        <w:t>18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valós-életbeli adatok milyen szerepet töltenek be a bizonyítékokon alapuló orvoslásban</w:t>
      </w:r>
    </w:p>
    <w:p w14:paraId="29E29486" w14:textId="51F027D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kezdeni;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5B347B48" w:rsidR="00742573" w:rsidRPr="00E5043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Arató András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Semmelweis Egyetem I. Sz. Gyermekgyógyászati Klinika, egyetemi tanár, igazgatóhelyettes</w:t>
      </w:r>
    </w:p>
    <w:p w14:paraId="36479A09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Béres András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Somogy Megyei Kaposi Mór Oktató Kórház</w:t>
      </w:r>
    </w:p>
    <w:p w14:paraId="73ED12F9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Endrei Dóra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KK, általános elnökhelyettes</w:t>
      </w:r>
    </w:p>
    <w:p w14:paraId="68FDD423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Erhardt Éva,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PTE KK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 egyetemi docens, osztályvezető</w:t>
      </w:r>
    </w:p>
    <w:p w14:paraId="6CC04251" w14:textId="1344D2F3" w:rsidR="00742573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Garami Miklós, </w:t>
      </w:r>
      <w:r w:rsidR="00364E15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 II. Sz. Gyermekgyógyászati Klinika, egyetemi docens, klinikaigazgató helyettes</w:t>
      </w:r>
    </w:p>
    <w:p w14:paraId="26BD0414" w14:textId="3F015C2C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SZTE ÁOK Bőrgyógyászati és Allergológiai Klinika</w:t>
      </w:r>
      <w:r w:rsidR="00364E15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3C524769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Lohner Szimonetta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 Magyar Cochrane Tagozat, tudományos munkatárs</w:t>
      </w:r>
    </w:p>
    <w:p w14:paraId="3B8A604F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Major Andrea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Somogy Megyei Kaposi Mór Oktató Kórház</w:t>
      </w:r>
    </w:p>
    <w:p w14:paraId="469D9662" w14:textId="1B8C2423" w:rsidR="00742573" w:rsidRPr="005C41B2" w:rsidRDefault="00742573" w:rsidP="00D75D1C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Mogyorósy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 w:rsidR="00364E15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269F05B8" w14:textId="77777777" w:rsidR="00742573" w:rsidRPr="00CA633B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Nyul Zoltán,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KK Gyermekgyógyászati Klinika, adjunktus, tanszékvezető</w:t>
      </w:r>
    </w:p>
    <w:p w14:paraId="3DAB2EB3" w14:textId="77777777" w:rsidR="00742573" w:rsidRPr="005C41B2" w:rsidRDefault="00742573" w:rsidP="005C41B2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Szabó Éva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PTE ÁOK Biokémiai és Orvosi Kémiai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adjunktus</w:t>
      </w:r>
    </w:p>
    <w:p w14:paraId="6B2B4E1C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Magyar Cochrane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sectPr w:rsidR="00742573" w:rsidRPr="005C41B2" w:rsidSect="00481C64">
      <w:footerReference w:type="default" r:id="rId13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C2D2" w14:textId="77777777" w:rsidR="00371747" w:rsidRDefault="00371747" w:rsidP="001440A0">
      <w:r>
        <w:separator/>
      </w:r>
    </w:p>
  </w:endnote>
  <w:endnote w:type="continuationSeparator" w:id="0">
    <w:p w14:paraId="7077A15B" w14:textId="77777777" w:rsidR="00371747" w:rsidRDefault="00371747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01B6" w14:textId="77777777" w:rsidR="00371747" w:rsidRDefault="00371747" w:rsidP="001440A0">
      <w:r>
        <w:separator/>
      </w:r>
    </w:p>
  </w:footnote>
  <w:footnote w:type="continuationSeparator" w:id="0">
    <w:p w14:paraId="190498C3" w14:textId="77777777" w:rsidR="00371747" w:rsidRDefault="00371747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19"/>
    <w:rsid w:val="00042B67"/>
    <w:rsid w:val="00076A5E"/>
    <w:rsid w:val="000F14FE"/>
    <w:rsid w:val="001052D9"/>
    <w:rsid w:val="001440A0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C00B0"/>
    <w:rsid w:val="002D7294"/>
    <w:rsid w:val="002E6177"/>
    <w:rsid w:val="002F0CBE"/>
    <w:rsid w:val="002F171B"/>
    <w:rsid w:val="003047B4"/>
    <w:rsid w:val="0031760C"/>
    <w:rsid w:val="00332024"/>
    <w:rsid w:val="00363464"/>
    <w:rsid w:val="00364E15"/>
    <w:rsid w:val="00371747"/>
    <w:rsid w:val="003C0907"/>
    <w:rsid w:val="003C7A21"/>
    <w:rsid w:val="003D0CB2"/>
    <w:rsid w:val="003F31A2"/>
    <w:rsid w:val="00481C64"/>
    <w:rsid w:val="004B7A27"/>
    <w:rsid w:val="004F0D69"/>
    <w:rsid w:val="00506B58"/>
    <w:rsid w:val="00511BE7"/>
    <w:rsid w:val="0055510C"/>
    <w:rsid w:val="00590542"/>
    <w:rsid w:val="005C41B2"/>
    <w:rsid w:val="005C519D"/>
    <w:rsid w:val="006028FA"/>
    <w:rsid w:val="00604B05"/>
    <w:rsid w:val="00610619"/>
    <w:rsid w:val="00617D41"/>
    <w:rsid w:val="0063485B"/>
    <w:rsid w:val="00646B9B"/>
    <w:rsid w:val="00653B15"/>
    <w:rsid w:val="00677BE9"/>
    <w:rsid w:val="006C623A"/>
    <w:rsid w:val="006D1A9D"/>
    <w:rsid w:val="006D763E"/>
    <w:rsid w:val="006F7954"/>
    <w:rsid w:val="00731997"/>
    <w:rsid w:val="00742573"/>
    <w:rsid w:val="00746C8B"/>
    <w:rsid w:val="007508E3"/>
    <w:rsid w:val="00785FC9"/>
    <w:rsid w:val="00791703"/>
    <w:rsid w:val="007A2D15"/>
    <w:rsid w:val="007B1228"/>
    <w:rsid w:val="007B1CA2"/>
    <w:rsid w:val="007F5BC6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A0C20"/>
    <w:rsid w:val="008E1391"/>
    <w:rsid w:val="008F769C"/>
    <w:rsid w:val="00913600"/>
    <w:rsid w:val="009347B9"/>
    <w:rsid w:val="009600FD"/>
    <w:rsid w:val="009A248F"/>
    <w:rsid w:val="009A5BAA"/>
    <w:rsid w:val="009B47FC"/>
    <w:rsid w:val="009D1AF4"/>
    <w:rsid w:val="00A01426"/>
    <w:rsid w:val="00A465BB"/>
    <w:rsid w:val="00A47986"/>
    <w:rsid w:val="00A67B13"/>
    <w:rsid w:val="00A72489"/>
    <w:rsid w:val="00A75E78"/>
    <w:rsid w:val="00AA2B9D"/>
    <w:rsid w:val="00AE397A"/>
    <w:rsid w:val="00B24269"/>
    <w:rsid w:val="00B27AE3"/>
    <w:rsid w:val="00B435A9"/>
    <w:rsid w:val="00B51BB0"/>
    <w:rsid w:val="00B77171"/>
    <w:rsid w:val="00B95B40"/>
    <w:rsid w:val="00BA3C93"/>
    <w:rsid w:val="00BB0359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709E7"/>
    <w:rsid w:val="00D74846"/>
    <w:rsid w:val="00D75D1C"/>
    <w:rsid w:val="00D83031"/>
    <w:rsid w:val="00D95D1F"/>
    <w:rsid w:val="00DA39CE"/>
    <w:rsid w:val="00DA7CA0"/>
    <w:rsid w:val="00DB5350"/>
    <w:rsid w:val="00E045F0"/>
    <w:rsid w:val="00E3239D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ngary.cochra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DA79-DE0E-4066-BB58-AEFAF7D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53</TotalTime>
  <Pages>1</Pages>
  <Words>406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Horváth Floransz Veronika</cp:lastModifiedBy>
  <cp:revision>11</cp:revision>
  <cp:lastPrinted>2020-09-29T11:04:00Z</cp:lastPrinted>
  <dcterms:created xsi:type="dcterms:W3CDTF">2021-08-13T09:25:00Z</dcterms:created>
  <dcterms:modified xsi:type="dcterms:W3CDTF">2022-08-09T08:12:00Z</dcterms:modified>
</cp:coreProperties>
</file>