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1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3/2 </w:t>
      </w:r>
      <w:r w:rsidR="00AB52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</w:t>
      </w:r>
    </w:p>
    <w:p w:rsidR="00042D90" w:rsidRPr="007D4399" w:rsidRDefault="002F5258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2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Experimentális és Klinikai Farmakológia </w:t>
      </w:r>
      <w:r w:rsidR="00042D90"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 komplex vizsga főtárgyai</w:t>
      </w:r>
    </w:p>
    <w:p w:rsidR="00042D90" w:rsidRPr="007D4399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AB" w:rsidRDefault="004632D9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042D90" w:rsidRPr="00A96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Daganatellenes farmakológia és terápia</w:t>
      </w:r>
    </w:p>
    <w:p w:rsidR="00623FAB" w:rsidRPr="00623FAB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b/>
          <w:sz w:val="24"/>
          <w:szCs w:val="24"/>
        </w:rPr>
        <w:t>Tételsor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 xml:space="preserve">1) A </w:t>
      </w:r>
      <w:proofErr w:type="spellStart"/>
      <w:r w:rsidRPr="00623FAB">
        <w:rPr>
          <w:rFonts w:ascii="Times New Roman" w:hAnsi="Times New Roman" w:cs="Times New Roman"/>
        </w:rPr>
        <w:t>preklinikai</w:t>
      </w:r>
      <w:proofErr w:type="spellEnd"/>
      <w:r w:rsidRPr="00623FAB">
        <w:rPr>
          <w:rFonts w:ascii="Times New Roman" w:hAnsi="Times New Roman" w:cs="Times New Roman"/>
        </w:rPr>
        <w:t xml:space="preserve"> vizsgálatok szerepe a daganatellenes szerek klinikai fejlesztésében.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2) A daganatellenes szerek klinikai vizsgálatának fázisai.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3) A daganatellenes szerek toxicitása.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4) A gyógyszerrezisztencia mechanizmusai, szerepe és terápiás megoldási lehetőségei.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5) A kemoterápiás szerek csoportosítása, hatásmechanizmusai.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 xml:space="preserve">6) A hormonszármazékok szerepe és hatásmechanizmusa az </w:t>
      </w:r>
      <w:proofErr w:type="spellStart"/>
      <w:r w:rsidRPr="00623FAB">
        <w:rPr>
          <w:rFonts w:ascii="Times New Roman" w:hAnsi="Times New Roman" w:cs="Times New Roman"/>
        </w:rPr>
        <w:t>onkoterápiában</w:t>
      </w:r>
      <w:proofErr w:type="spellEnd"/>
      <w:r w:rsidRPr="00623FAB">
        <w:rPr>
          <w:rFonts w:ascii="Times New Roman" w:hAnsi="Times New Roman" w:cs="Times New Roman"/>
        </w:rPr>
        <w:t>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 xml:space="preserve">7) A biológiai terápiák célpontjai, a </w:t>
      </w:r>
      <w:proofErr w:type="spellStart"/>
      <w:r w:rsidRPr="00623FAB">
        <w:rPr>
          <w:rFonts w:ascii="Times New Roman" w:hAnsi="Times New Roman" w:cs="Times New Roman"/>
        </w:rPr>
        <w:t>kemo</w:t>
      </w:r>
      <w:proofErr w:type="spellEnd"/>
      <w:r w:rsidRPr="00623FAB">
        <w:rPr>
          <w:rFonts w:ascii="Times New Roman" w:hAnsi="Times New Roman" w:cs="Times New Roman"/>
        </w:rPr>
        <w:t>/hormon terápia és biológiai terápia különbségei.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8) A kombinált kezelések racionalitása és klinikai farmakológiai alapjai.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>9) A terápiás hatékonyság klinikai markerei, ezek vizsgálata.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 xml:space="preserve">10) A </w:t>
      </w:r>
      <w:proofErr w:type="spellStart"/>
      <w:r w:rsidRPr="00623FAB">
        <w:rPr>
          <w:rFonts w:ascii="Times New Roman" w:hAnsi="Times New Roman" w:cs="Times New Roman"/>
        </w:rPr>
        <w:t>farmakogenetika</w:t>
      </w:r>
      <w:proofErr w:type="spellEnd"/>
      <w:r w:rsidRPr="00623FAB">
        <w:rPr>
          <w:rFonts w:ascii="Times New Roman" w:hAnsi="Times New Roman" w:cs="Times New Roman"/>
        </w:rPr>
        <w:t xml:space="preserve"> szerepe az onkológiai betegek kezelésében.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</w:p>
    <w:p w:rsidR="00623FAB" w:rsidRPr="00623FAB" w:rsidRDefault="00623FAB" w:rsidP="00623FAB">
      <w:pPr>
        <w:rPr>
          <w:rFonts w:ascii="Times New Roman" w:hAnsi="Times New Roman" w:cs="Times New Roman"/>
        </w:rPr>
      </w:pPr>
      <w:r w:rsidRPr="004632D9">
        <w:rPr>
          <w:rFonts w:ascii="Times New Roman" w:hAnsi="Times New Roman" w:cs="Times New Roman"/>
          <w:b/>
        </w:rPr>
        <w:t>Ajánlott irodalom</w:t>
      </w:r>
      <w:r w:rsidRPr="00623FAB">
        <w:rPr>
          <w:rFonts w:ascii="Times New Roman" w:hAnsi="Times New Roman" w:cs="Times New Roman"/>
        </w:rPr>
        <w:t>: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  <w:proofErr w:type="spellStart"/>
      <w:r w:rsidRPr="00623FAB">
        <w:rPr>
          <w:rFonts w:ascii="Times New Roman" w:hAnsi="Times New Roman" w:cs="Times New Roman"/>
        </w:rPr>
        <w:t>Onkofarmakológia</w:t>
      </w:r>
      <w:proofErr w:type="spellEnd"/>
      <w:r w:rsidRPr="00623FAB">
        <w:rPr>
          <w:rFonts w:ascii="Times New Roman" w:hAnsi="Times New Roman" w:cs="Times New Roman"/>
        </w:rPr>
        <w:t xml:space="preserve"> (2. kiadás) </w:t>
      </w:r>
      <w:proofErr w:type="spellStart"/>
      <w:r w:rsidRPr="00623FAB">
        <w:rPr>
          <w:rFonts w:ascii="Times New Roman" w:hAnsi="Times New Roman" w:cs="Times New Roman"/>
        </w:rPr>
        <w:t>Szerk</w:t>
      </w:r>
      <w:proofErr w:type="spellEnd"/>
      <w:r w:rsidRPr="00623FAB">
        <w:rPr>
          <w:rFonts w:ascii="Times New Roman" w:hAnsi="Times New Roman" w:cs="Times New Roman"/>
        </w:rPr>
        <w:t xml:space="preserve">: Jeney András, </w:t>
      </w:r>
      <w:proofErr w:type="spellStart"/>
      <w:r w:rsidRPr="00623FAB">
        <w:rPr>
          <w:rFonts w:ascii="Times New Roman" w:hAnsi="Times New Roman" w:cs="Times New Roman"/>
        </w:rPr>
        <w:t>Kralovánszky</w:t>
      </w:r>
      <w:proofErr w:type="spellEnd"/>
      <w:r w:rsidRPr="00623FAB">
        <w:rPr>
          <w:rFonts w:ascii="Times New Roman" w:hAnsi="Times New Roman" w:cs="Times New Roman"/>
        </w:rPr>
        <w:t xml:space="preserve"> Judit. Medicina, 2009.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  <w:r w:rsidRPr="00623FAB">
        <w:rPr>
          <w:rFonts w:ascii="Times New Roman" w:hAnsi="Times New Roman" w:cs="Times New Roman"/>
        </w:rPr>
        <w:t xml:space="preserve">Farmakológia és Klinikai Farmakológia Főszerkesztő: </w:t>
      </w:r>
      <w:proofErr w:type="spellStart"/>
      <w:r w:rsidRPr="00623FAB">
        <w:rPr>
          <w:rFonts w:ascii="Times New Roman" w:hAnsi="Times New Roman" w:cs="Times New Roman"/>
        </w:rPr>
        <w:t>Gyires</w:t>
      </w:r>
      <w:proofErr w:type="spellEnd"/>
      <w:r w:rsidRPr="00623FAB">
        <w:rPr>
          <w:rFonts w:ascii="Times New Roman" w:hAnsi="Times New Roman" w:cs="Times New Roman"/>
        </w:rPr>
        <w:t xml:space="preserve"> Klára, Fürst Zsuzsanna, </w:t>
      </w:r>
      <w:proofErr w:type="spellStart"/>
      <w:r w:rsidRPr="00623FAB">
        <w:rPr>
          <w:rFonts w:ascii="Times New Roman" w:hAnsi="Times New Roman" w:cs="Times New Roman"/>
        </w:rPr>
        <w:t>Ferdinándy</w:t>
      </w:r>
      <w:proofErr w:type="spellEnd"/>
      <w:r w:rsidRPr="00623FAB">
        <w:rPr>
          <w:rFonts w:ascii="Times New Roman" w:hAnsi="Times New Roman" w:cs="Times New Roman"/>
        </w:rPr>
        <w:t xml:space="preserve"> Péter. Medicina 2017. (XV. fejezet)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  <w:proofErr w:type="spellStart"/>
      <w:r w:rsidRPr="00623FAB">
        <w:rPr>
          <w:rFonts w:ascii="Times New Roman" w:hAnsi="Times New Roman" w:cs="Times New Roman"/>
        </w:rPr>
        <w:t>Cancer</w:t>
      </w:r>
      <w:proofErr w:type="spellEnd"/>
      <w:r w:rsidRPr="00623FAB">
        <w:rPr>
          <w:rFonts w:ascii="Times New Roman" w:hAnsi="Times New Roman" w:cs="Times New Roman"/>
        </w:rPr>
        <w:t xml:space="preserve"> </w:t>
      </w:r>
      <w:proofErr w:type="spellStart"/>
      <w:r w:rsidRPr="00623FAB">
        <w:rPr>
          <w:rFonts w:ascii="Times New Roman" w:hAnsi="Times New Roman" w:cs="Times New Roman"/>
        </w:rPr>
        <w:t>Chemotherapy</w:t>
      </w:r>
      <w:proofErr w:type="spellEnd"/>
      <w:r w:rsidRPr="00623FAB">
        <w:rPr>
          <w:rFonts w:ascii="Times New Roman" w:hAnsi="Times New Roman" w:cs="Times New Roman"/>
        </w:rPr>
        <w:t xml:space="preserve"> &amp; </w:t>
      </w:r>
      <w:proofErr w:type="spellStart"/>
      <w:r w:rsidRPr="00623FAB">
        <w:rPr>
          <w:rFonts w:ascii="Times New Roman" w:hAnsi="Times New Roman" w:cs="Times New Roman"/>
        </w:rPr>
        <w:t>Biotherapy</w:t>
      </w:r>
      <w:proofErr w:type="spellEnd"/>
      <w:r w:rsidRPr="00623FAB">
        <w:rPr>
          <w:rFonts w:ascii="Times New Roman" w:hAnsi="Times New Roman" w:cs="Times New Roman"/>
        </w:rPr>
        <w:t xml:space="preserve"> </w:t>
      </w:r>
      <w:proofErr w:type="spellStart"/>
      <w:r w:rsidRPr="00623FAB">
        <w:rPr>
          <w:rFonts w:ascii="Times New Roman" w:hAnsi="Times New Roman" w:cs="Times New Roman"/>
        </w:rPr>
        <w:t>Szerk</w:t>
      </w:r>
      <w:proofErr w:type="spellEnd"/>
      <w:r w:rsidRPr="00623FAB">
        <w:rPr>
          <w:rFonts w:ascii="Times New Roman" w:hAnsi="Times New Roman" w:cs="Times New Roman"/>
        </w:rPr>
        <w:t xml:space="preserve">: Bruce </w:t>
      </w:r>
      <w:proofErr w:type="gramStart"/>
      <w:r w:rsidRPr="00623FAB">
        <w:rPr>
          <w:rFonts w:ascii="Times New Roman" w:hAnsi="Times New Roman" w:cs="Times New Roman"/>
        </w:rPr>
        <w:t>A</w:t>
      </w:r>
      <w:proofErr w:type="gramEnd"/>
      <w:r w:rsidRPr="00623FAB">
        <w:rPr>
          <w:rFonts w:ascii="Times New Roman" w:hAnsi="Times New Roman" w:cs="Times New Roman"/>
        </w:rPr>
        <w:t xml:space="preserve"> </w:t>
      </w:r>
      <w:proofErr w:type="spellStart"/>
      <w:r w:rsidRPr="00623FAB">
        <w:rPr>
          <w:rFonts w:ascii="Times New Roman" w:hAnsi="Times New Roman" w:cs="Times New Roman"/>
        </w:rPr>
        <w:t>Chabner</w:t>
      </w:r>
      <w:proofErr w:type="spellEnd"/>
      <w:r w:rsidRPr="00623FAB">
        <w:rPr>
          <w:rFonts w:ascii="Times New Roman" w:hAnsi="Times New Roman" w:cs="Times New Roman"/>
        </w:rPr>
        <w:t xml:space="preserve">, </w:t>
      </w:r>
      <w:proofErr w:type="spellStart"/>
      <w:r w:rsidRPr="00623FAB">
        <w:rPr>
          <w:rFonts w:ascii="Times New Roman" w:hAnsi="Times New Roman" w:cs="Times New Roman"/>
        </w:rPr>
        <w:t>Dan</w:t>
      </w:r>
      <w:proofErr w:type="spellEnd"/>
      <w:r w:rsidRPr="00623FAB">
        <w:rPr>
          <w:rFonts w:ascii="Times New Roman" w:hAnsi="Times New Roman" w:cs="Times New Roman"/>
        </w:rPr>
        <w:t xml:space="preserve"> L. </w:t>
      </w:r>
      <w:proofErr w:type="spellStart"/>
      <w:r w:rsidRPr="00623FAB">
        <w:rPr>
          <w:rFonts w:ascii="Times New Roman" w:hAnsi="Times New Roman" w:cs="Times New Roman"/>
        </w:rPr>
        <w:t>Longo</w:t>
      </w:r>
      <w:proofErr w:type="spellEnd"/>
      <w:r w:rsidRPr="00623FAB">
        <w:rPr>
          <w:rFonts w:ascii="Times New Roman" w:hAnsi="Times New Roman" w:cs="Times New Roman"/>
        </w:rPr>
        <w:t xml:space="preserve">  </w:t>
      </w:r>
      <w:proofErr w:type="spellStart"/>
      <w:r w:rsidRPr="00623FAB">
        <w:rPr>
          <w:rFonts w:ascii="Times New Roman" w:hAnsi="Times New Roman" w:cs="Times New Roman"/>
        </w:rPr>
        <w:t>Lippincott</w:t>
      </w:r>
      <w:proofErr w:type="spellEnd"/>
      <w:r w:rsidRPr="00623FAB">
        <w:rPr>
          <w:rFonts w:ascii="Times New Roman" w:hAnsi="Times New Roman" w:cs="Times New Roman"/>
        </w:rPr>
        <w:t xml:space="preserve"> Williams &amp; Wilkins (3rd </w:t>
      </w:r>
      <w:proofErr w:type="spellStart"/>
      <w:r w:rsidRPr="00623FAB">
        <w:rPr>
          <w:rFonts w:ascii="Times New Roman" w:hAnsi="Times New Roman" w:cs="Times New Roman"/>
        </w:rPr>
        <w:t>edition</w:t>
      </w:r>
      <w:proofErr w:type="spellEnd"/>
      <w:r w:rsidRPr="00623FAB">
        <w:rPr>
          <w:rFonts w:ascii="Times New Roman" w:hAnsi="Times New Roman" w:cs="Times New Roman"/>
        </w:rPr>
        <w:t xml:space="preserve"> 2001 - 6th </w:t>
      </w:r>
      <w:proofErr w:type="spellStart"/>
      <w:r w:rsidRPr="00623FAB">
        <w:rPr>
          <w:rFonts w:ascii="Times New Roman" w:hAnsi="Times New Roman" w:cs="Times New Roman"/>
        </w:rPr>
        <w:t>edition</w:t>
      </w:r>
      <w:proofErr w:type="spellEnd"/>
      <w:r w:rsidRPr="00623FAB">
        <w:rPr>
          <w:rFonts w:ascii="Times New Roman" w:hAnsi="Times New Roman" w:cs="Times New Roman"/>
        </w:rPr>
        <w:t xml:space="preserve"> 2019).</w:t>
      </w:r>
    </w:p>
    <w:p w:rsidR="00623FAB" w:rsidRPr="00623FAB" w:rsidRDefault="00623FAB" w:rsidP="00623FAB">
      <w:pPr>
        <w:rPr>
          <w:rFonts w:ascii="Times New Roman" w:hAnsi="Times New Roman" w:cs="Times New Roman"/>
        </w:rPr>
      </w:pPr>
    </w:p>
    <w:p w:rsidR="00623FAB" w:rsidRDefault="00623FAB" w:rsidP="00623FAB">
      <w:r>
        <w:br w:type="page"/>
      </w:r>
    </w:p>
    <w:p w:rsidR="00042D90" w:rsidRDefault="004632D9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18</w:t>
      </w:r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D4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4399" w:rsidRPr="00A96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fájdalomcsillapítás farmakológiája</w:t>
      </w:r>
    </w:p>
    <w:p w:rsidR="00623FAB" w:rsidRDefault="00623FAB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AB" w:rsidRPr="00623FAB" w:rsidRDefault="00623FAB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3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Tételek:</w:t>
      </w: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 xml:space="preserve">1) A </w:t>
      </w:r>
      <w:proofErr w:type="spellStart"/>
      <w:r w:rsidRPr="00623FAB">
        <w:rPr>
          <w:rFonts w:ascii="Times New Roman" w:hAnsi="Times New Roman" w:cs="Times New Roman"/>
          <w:sz w:val="24"/>
          <w:szCs w:val="24"/>
        </w:rPr>
        <w:t>preklinikai</w:t>
      </w:r>
      <w:proofErr w:type="spellEnd"/>
      <w:r w:rsidRPr="00623FAB">
        <w:rPr>
          <w:rFonts w:ascii="Times New Roman" w:hAnsi="Times New Roman" w:cs="Times New Roman"/>
          <w:sz w:val="24"/>
          <w:szCs w:val="24"/>
        </w:rPr>
        <w:t xml:space="preserve"> vizsgálatok szerepe a fájdalomcsillapítók klinikai fejlesztésében.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2) A fájdalomcsillapítók klinikai vizsgálatának alapjai.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3) A fájdalomcsillapítók mellékhatásai és ezek terápiája.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4) A fájdalomcsillapítók csoportosítása, hatásmechanizmusai.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5) A NSAID kezelés klinikai farmakológiai alapjai.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 xml:space="preserve">6) Az </w:t>
      </w:r>
      <w:proofErr w:type="spellStart"/>
      <w:r w:rsidRPr="00623FAB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Pr="00623FAB">
        <w:rPr>
          <w:rFonts w:ascii="Times New Roman" w:hAnsi="Times New Roman" w:cs="Times New Roman"/>
          <w:sz w:val="24"/>
          <w:szCs w:val="24"/>
        </w:rPr>
        <w:t xml:space="preserve"> terápia klinikai farmakológiai alapjai.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 xml:space="preserve">7) Az </w:t>
      </w:r>
      <w:proofErr w:type="spellStart"/>
      <w:r w:rsidRPr="00623FAB">
        <w:rPr>
          <w:rFonts w:ascii="Times New Roman" w:hAnsi="Times New Roman" w:cs="Times New Roman"/>
          <w:sz w:val="24"/>
          <w:szCs w:val="24"/>
        </w:rPr>
        <w:t>adjuváns</w:t>
      </w:r>
      <w:proofErr w:type="spellEnd"/>
      <w:r w:rsidRPr="0062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FAB">
        <w:rPr>
          <w:rFonts w:ascii="Times New Roman" w:hAnsi="Times New Roman" w:cs="Times New Roman"/>
          <w:sz w:val="24"/>
          <w:szCs w:val="24"/>
        </w:rPr>
        <w:t>analgetikumok</w:t>
      </w:r>
      <w:proofErr w:type="spellEnd"/>
      <w:r w:rsidRPr="00623FAB">
        <w:rPr>
          <w:rFonts w:ascii="Times New Roman" w:hAnsi="Times New Roman" w:cs="Times New Roman"/>
          <w:sz w:val="24"/>
          <w:szCs w:val="24"/>
        </w:rPr>
        <w:t xml:space="preserve"> fogalma, hatásmechanizmusa, alkalmazása.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8) A fájdalomcsillapítók kombinálása és klinikai farmakológiai alapjai.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>9) Új lehetőségek a fájdalomcsillapításban</w:t>
      </w:r>
    </w:p>
    <w:p w:rsidR="00623FAB" w:rsidRPr="00623FAB" w:rsidRDefault="00623FAB" w:rsidP="00623F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FAB">
        <w:rPr>
          <w:rFonts w:ascii="Times New Roman" w:hAnsi="Times New Roman" w:cs="Times New Roman"/>
          <w:sz w:val="24"/>
          <w:szCs w:val="24"/>
        </w:rPr>
        <w:t xml:space="preserve">10) A WHO és egyéb ajánlások a </w:t>
      </w:r>
      <w:proofErr w:type="spellStart"/>
      <w:r w:rsidRPr="00623FAB">
        <w:rPr>
          <w:rFonts w:ascii="Times New Roman" w:hAnsi="Times New Roman" w:cs="Times New Roman"/>
          <w:sz w:val="24"/>
          <w:szCs w:val="24"/>
        </w:rPr>
        <w:t>fájdalomcsillaptásra</w:t>
      </w:r>
      <w:proofErr w:type="spellEnd"/>
      <w:r w:rsidRPr="00623FAB">
        <w:rPr>
          <w:rFonts w:ascii="Times New Roman" w:hAnsi="Times New Roman" w:cs="Times New Roman"/>
          <w:sz w:val="24"/>
          <w:szCs w:val="24"/>
        </w:rPr>
        <w:t xml:space="preserve"> vonatkozóan. </w:t>
      </w:r>
    </w:p>
    <w:p w:rsidR="00623FAB" w:rsidRDefault="00623FAB" w:rsidP="00623FAB"/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DB20CA">
        <w:rPr>
          <w:rFonts w:ascii="Times New Roman" w:hAnsi="Times New Roman" w:cs="Times New Roman"/>
          <w:b/>
          <w:sz w:val="24"/>
          <w:szCs w:val="24"/>
        </w:rPr>
        <w:t>Ajánlott irodalom</w:t>
      </w:r>
      <w:r w:rsidRPr="004F6C71">
        <w:rPr>
          <w:rFonts w:ascii="Times New Roman" w:hAnsi="Times New Roman" w:cs="Times New Roman"/>
          <w:sz w:val="24"/>
          <w:szCs w:val="24"/>
        </w:rPr>
        <w:t>: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4F6C71">
        <w:rPr>
          <w:rFonts w:ascii="Times New Roman" w:hAnsi="Times New Roman" w:cs="Times New Roman"/>
          <w:sz w:val="24"/>
          <w:szCs w:val="24"/>
        </w:rPr>
        <w:t xml:space="preserve">Farmakológia és Klinikai Farmakológia Főszerkesztő: </w:t>
      </w:r>
      <w:proofErr w:type="spellStart"/>
      <w:r w:rsidRPr="004F6C71">
        <w:rPr>
          <w:rFonts w:ascii="Times New Roman" w:hAnsi="Times New Roman" w:cs="Times New Roman"/>
          <w:sz w:val="24"/>
          <w:szCs w:val="24"/>
        </w:rPr>
        <w:t>Gyires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 Klára, Fürst Zsuzsanna, </w:t>
      </w:r>
      <w:proofErr w:type="spellStart"/>
      <w:r w:rsidRPr="004F6C71">
        <w:rPr>
          <w:rFonts w:ascii="Times New Roman" w:hAnsi="Times New Roman" w:cs="Times New Roman"/>
          <w:sz w:val="24"/>
          <w:szCs w:val="24"/>
        </w:rPr>
        <w:t>Ferdinándy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 Péter. Medicina 2017. 467-502 old.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C71">
        <w:rPr>
          <w:rFonts w:ascii="Times New Roman" w:hAnsi="Times New Roman" w:cs="Times New Roman"/>
          <w:sz w:val="24"/>
          <w:szCs w:val="24"/>
        </w:rPr>
        <w:t>Onkofarmakológia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 (2. kiadás) </w:t>
      </w:r>
      <w:proofErr w:type="spellStart"/>
      <w:r w:rsidRPr="004F6C71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: Jeney András, </w:t>
      </w:r>
      <w:proofErr w:type="spellStart"/>
      <w:r w:rsidRPr="004F6C71">
        <w:rPr>
          <w:rFonts w:ascii="Times New Roman" w:hAnsi="Times New Roman" w:cs="Times New Roman"/>
          <w:sz w:val="24"/>
          <w:szCs w:val="24"/>
        </w:rPr>
        <w:t>Kralovánszky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 Judit. Medicina, 2009. 593-621 old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4F6C71">
        <w:rPr>
          <w:rFonts w:ascii="Times New Roman" w:hAnsi="Times New Roman" w:cs="Times New Roman"/>
          <w:sz w:val="24"/>
          <w:szCs w:val="24"/>
        </w:rPr>
        <w:t xml:space="preserve">Telekes </w:t>
      </w:r>
      <w:proofErr w:type="gramStart"/>
      <w:r w:rsidRPr="004F6C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C71">
        <w:rPr>
          <w:rFonts w:ascii="Times New Roman" w:hAnsi="Times New Roman" w:cs="Times New Roman"/>
          <w:sz w:val="24"/>
          <w:szCs w:val="24"/>
        </w:rPr>
        <w:t xml:space="preserve"> (2017): Sokszínű fájdalom, szürke terápia? Háziorvosi Továbbképző Szemle; 8: 13-18  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4F6C71">
        <w:rPr>
          <w:rFonts w:ascii="Times New Roman" w:hAnsi="Times New Roman" w:cs="Times New Roman"/>
          <w:sz w:val="24"/>
          <w:szCs w:val="24"/>
        </w:rPr>
        <w:t xml:space="preserve">Telekes </w:t>
      </w:r>
      <w:proofErr w:type="gramStart"/>
      <w:r w:rsidRPr="004F6C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C71">
        <w:rPr>
          <w:rFonts w:ascii="Times New Roman" w:hAnsi="Times New Roman" w:cs="Times New Roman"/>
          <w:sz w:val="24"/>
          <w:szCs w:val="24"/>
        </w:rPr>
        <w:t xml:space="preserve"> (2017): A gyógyszeres fájdalomcsillapítás közelgő új lehetőségei Magyar Onkológia; 61(3): 238-245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4F6C71">
        <w:rPr>
          <w:rFonts w:ascii="Times New Roman" w:hAnsi="Times New Roman" w:cs="Times New Roman"/>
          <w:sz w:val="24"/>
          <w:szCs w:val="24"/>
        </w:rPr>
        <w:t xml:space="preserve">Telekes A (2017): A </w:t>
      </w:r>
      <w:proofErr w:type="gramStart"/>
      <w:r w:rsidRPr="004F6C71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Pr="004F6C71">
        <w:rPr>
          <w:rFonts w:ascii="Times New Roman" w:hAnsi="Times New Roman" w:cs="Times New Roman"/>
          <w:sz w:val="24"/>
          <w:szCs w:val="24"/>
        </w:rPr>
        <w:t xml:space="preserve"> dózisú fájdalomcsillapító-kombinációk alkalmazása. Háziorvos Továbbképző Szemle; 22: 619-624. </w:t>
      </w:r>
    </w:p>
    <w:p w:rsidR="00623FAB" w:rsidRPr="004F6C71" w:rsidRDefault="00623FAB" w:rsidP="00623FAB">
      <w:pPr>
        <w:rPr>
          <w:rFonts w:ascii="Times New Roman" w:hAnsi="Times New Roman" w:cs="Times New Roman"/>
          <w:sz w:val="24"/>
          <w:szCs w:val="24"/>
        </w:rPr>
      </w:pPr>
      <w:r w:rsidRPr="004F6C71">
        <w:rPr>
          <w:rFonts w:ascii="Times New Roman" w:hAnsi="Times New Roman" w:cs="Times New Roman"/>
          <w:sz w:val="24"/>
          <w:szCs w:val="24"/>
        </w:rPr>
        <w:t xml:space="preserve">Telekes </w:t>
      </w:r>
      <w:proofErr w:type="gramStart"/>
      <w:r w:rsidRPr="004F6C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C71">
        <w:rPr>
          <w:rFonts w:ascii="Times New Roman" w:hAnsi="Times New Roman" w:cs="Times New Roman"/>
          <w:sz w:val="24"/>
          <w:szCs w:val="24"/>
        </w:rPr>
        <w:t xml:space="preserve"> (2012): A fájdalomcsillapító tapaszok. </w:t>
      </w:r>
      <w:proofErr w:type="spellStart"/>
      <w:r w:rsidRPr="004F6C71">
        <w:rPr>
          <w:rFonts w:ascii="Times New Roman" w:hAnsi="Times New Roman" w:cs="Times New Roman"/>
          <w:sz w:val="24"/>
          <w:szCs w:val="24"/>
        </w:rPr>
        <w:t>Uroonkológia</w:t>
      </w:r>
      <w:proofErr w:type="spellEnd"/>
      <w:r w:rsidRPr="004F6C71">
        <w:rPr>
          <w:rFonts w:ascii="Times New Roman" w:hAnsi="Times New Roman" w:cs="Times New Roman"/>
          <w:sz w:val="24"/>
          <w:szCs w:val="24"/>
        </w:rPr>
        <w:t xml:space="preserve">, 4: 81-86. </w:t>
      </w:r>
    </w:p>
    <w:p w:rsidR="00042D90" w:rsidRDefault="00623FAB" w:rsidP="00623FAB">
      <w:pPr>
        <w:spacing w:after="0" w:line="240" w:lineRule="auto"/>
      </w:pPr>
      <w:r w:rsidRPr="004F6C71">
        <w:rPr>
          <w:rFonts w:ascii="Times New Roman" w:hAnsi="Times New Roman" w:cs="Times New Roman"/>
          <w:sz w:val="24"/>
          <w:szCs w:val="24"/>
        </w:rPr>
        <w:t xml:space="preserve">Telekes </w:t>
      </w:r>
      <w:proofErr w:type="gramStart"/>
      <w:r w:rsidRPr="004F6C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C71">
        <w:rPr>
          <w:rFonts w:ascii="Times New Roman" w:hAnsi="Times New Roman" w:cs="Times New Roman"/>
          <w:sz w:val="24"/>
          <w:szCs w:val="24"/>
        </w:rPr>
        <w:t xml:space="preserve"> (2013): A fájdalom mérése. Háziorvosi Továbbképző Szemle; 18:21-25</w:t>
      </w:r>
      <w:r w:rsidRPr="00FA3EFD">
        <w:t>.</w:t>
      </w:r>
    </w:p>
    <w:p w:rsidR="004F6C71" w:rsidRDefault="004F6C71" w:rsidP="0062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7DC" w:rsidRDefault="00CF07DC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07DC" w:rsidRDefault="00CF07DC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07DC" w:rsidRDefault="00CF07DC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07DC" w:rsidRDefault="00CF07DC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07DC" w:rsidRDefault="00CF07DC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D90" w:rsidRDefault="00DB20CA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19</w:t>
      </w:r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Farmakokinetika</w:t>
      </w:r>
      <w:proofErr w:type="spellEnd"/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-gyógyszermetabolizmus</w:t>
      </w: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Tételek:</w:t>
      </w:r>
    </w:p>
    <w:p w:rsid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A gyógyszerek felszívódása; adagolási utak és speciális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farmakokinetikai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tulajdonságaik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gyógyszerek eloszlása és plazmafehérje kötődése; a vér-agy gáton való átjutás mechanizmusai és befolyásolásának lehetőségei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gyógyszer-metabolizmus útvonalai; a metabolizmus következményei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gyógyszer-metabolizmust befolyásoló tényezők (genetikai polimorfizmus, enzimindukció, enzimgátlás), metabolikus gyógyszer-interakciók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A gyógyszer-metabolizmus Fázis I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enzimei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citokróm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P450 enzimek,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flavin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monooxigenázok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észterázok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alkohol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dehidrogenázok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epoxid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hidrolázok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)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főbb konjugációs enzimek (UDP-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glukuronil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transzferázok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szulfotranszferázok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glutation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transzferázok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, N-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acetil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transzferázok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metil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transzferázok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, aminosav konjugációs enzimek)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transzporterek jelentősége az ADME folyamatokban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>A gyógyszerek eliminációjának mechanizmusai, szervei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Klinikai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farmakokinetika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; vérszintgörbék és jellemző paraméterei</w:t>
      </w:r>
    </w:p>
    <w:p w:rsidR="00042D90" w:rsidRPr="00042D90" w:rsidRDefault="00042D90" w:rsidP="00042D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farmakokinetikai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folyamatok megváltozása különböző állapotokban (máj- és vesebetegség, gyermek- és időskor, gyógyszerkölcsönhatások,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szerepe)</w:t>
      </w:r>
    </w:p>
    <w:p w:rsidR="00042D90" w:rsidRPr="00042D90" w:rsidRDefault="00042D90" w:rsidP="00042D90">
      <w:pPr>
        <w:rPr>
          <w:rFonts w:ascii="Times New Roman" w:hAnsi="Times New Roman" w:cs="Times New Roman"/>
          <w:sz w:val="24"/>
          <w:szCs w:val="24"/>
        </w:rPr>
      </w:pPr>
    </w:p>
    <w:p w:rsidR="00042D90" w:rsidRPr="008D429B" w:rsidRDefault="00042D90" w:rsidP="0004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29B">
        <w:rPr>
          <w:rFonts w:ascii="Times New Roman" w:hAnsi="Times New Roman" w:cs="Times New Roman"/>
          <w:b/>
          <w:sz w:val="24"/>
          <w:szCs w:val="24"/>
        </w:rPr>
        <w:t>Ajánlott irodalom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Gyires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K, Fürst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Ferdinándy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P: Farmakológia és Klinikai Farmakológia, 3-6. fejezet (Medicina) 2020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BG,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Vanderah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TW: Basic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15th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3-5 (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Hill) 2021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Montellano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Cytochrome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P450 (Springer) 2015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MB,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Obach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S, Lee J: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metabolizing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FontisMedia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SA and Marcel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Inc.) 2003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Perjési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P: Gyógyszermetabolizmus és gyógyszertoxicitás (Pécsi Tudományegyetem) 2014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Tornio</w:t>
      </w:r>
      <w:proofErr w:type="spell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Backman JT: </w:t>
      </w:r>
      <w:proofErr w:type="spell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Cytochrome</w:t>
      </w:r>
      <w:proofErr w:type="spell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P450 in </w:t>
      </w:r>
      <w:proofErr w:type="spell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Pharmacogenetics</w:t>
      </w:r>
      <w:proofErr w:type="spell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An Update. </w:t>
      </w:r>
      <w:proofErr w:type="spell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Advances</w:t>
      </w:r>
      <w:proofErr w:type="spell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Pharmacology</w:t>
      </w:r>
      <w:proofErr w:type="spellEnd"/>
      <w:r w:rsidRPr="00042D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Tornio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Clinical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Studies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on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Drug-Drug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Interactions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Involving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Metabolism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 and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Transport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: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Methodology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,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Pitfalls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, and </w:t>
      </w:r>
      <w:proofErr w:type="spellStart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>Interpretation</w:t>
      </w:r>
      <w:proofErr w:type="spellEnd"/>
      <w:r w:rsidRPr="00042D9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hu-HU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Therap 2019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Fukami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T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esterases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Pharmacokin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42D90" w:rsidRPr="00042D90" w:rsidRDefault="00042D90" w:rsidP="00042D90">
      <w:pPr>
        <w:pStyle w:val="Cmsor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042D90">
        <w:rPr>
          <w:b w:val="0"/>
          <w:bCs w:val="0"/>
          <w:sz w:val="24"/>
          <w:szCs w:val="24"/>
        </w:rPr>
        <w:t xml:space="preserve">Di L et </w:t>
      </w:r>
      <w:proofErr w:type="spellStart"/>
      <w:r w:rsidRPr="00042D90">
        <w:rPr>
          <w:b w:val="0"/>
          <w:bCs w:val="0"/>
          <w:sz w:val="24"/>
          <w:szCs w:val="24"/>
        </w:rPr>
        <w:t>al</w:t>
      </w:r>
      <w:proofErr w:type="spellEnd"/>
      <w:proofErr w:type="gramStart"/>
      <w:r w:rsidRPr="00042D90">
        <w:rPr>
          <w:b w:val="0"/>
          <w:bCs w:val="0"/>
          <w:sz w:val="24"/>
          <w:szCs w:val="24"/>
        </w:rPr>
        <w:t>.:</w:t>
      </w:r>
      <w:proofErr w:type="gramEnd"/>
      <w:r w:rsidRPr="00042D90">
        <w:rPr>
          <w:b w:val="0"/>
          <w:bCs w:val="0"/>
          <w:sz w:val="24"/>
          <w:szCs w:val="24"/>
        </w:rPr>
        <w:t xml:space="preserve"> </w:t>
      </w:r>
      <w:r w:rsidRPr="00042D90">
        <w:rPr>
          <w:b w:val="0"/>
          <w:bCs w:val="0"/>
          <w:color w:val="212121"/>
          <w:sz w:val="24"/>
          <w:szCs w:val="24"/>
        </w:rPr>
        <w:t xml:space="preserve">The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Role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of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Alcohol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Dehydrogenase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in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Drug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Metabolism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: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Beyond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Ethanol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color w:val="212121"/>
          <w:sz w:val="24"/>
          <w:szCs w:val="24"/>
        </w:rPr>
        <w:t>Oxidation</w:t>
      </w:r>
      <w:proofErr w:type="spellEnd"/>
      <w:r w:rsidRPr="00042D90">
        <w:rPr>
          <w:b w:val="0"/>
          <w:bCs w:val="0"/>
          <w:color w:val="212121"/>
          <w:sz w:val="24"/>
          <w:szCs w:val="24"/>
        </w:rPr>
        <w:t xml:space="preserve">. </w:t>
      </w:r>
      <w:r w:rsidRPr="00042D90">
        <w:rPr>
          <w:b w:val="0"/>
          <w:bCs w:val="0"/>
          <w:sz w:val="24"/>
          <w:szCs w:val="24"/>
        </w:rPr>
        <w:t>AAPS J 2021</w:t>
      </w:r>
    </w:p>
    <w:p w:rsidR="00042D90" w:rsidRPr="00042D90" w:rsidRDefault="00042D90" w:rsidP="00042D90">
      <w:pPr>
        <w:pStyle w:val="Cmsor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proofErr w:type="spellStart"/>
      <w:r w:rsidRPr="00042D90">
        <w:rPr>
          <w:b w:val="0"/>
          <w:bCs w:val="0"/>
          <w:sz w:val="24"/>
          <w:szCs w:val="24"/>
        </w:rPr>
        <w:t>Gautheron</w:t>
      </w:r>
      <w:proofErr w:type="spellEnd"/>
      <w:r w:rsidRPr="00042D90">
        <w:rPr>
          <w:b w:val="0"/>
          <w:bCs w:val="0"/>
          <w:sz w:val="24"/>
          <w:szCs w:val="24"/>
        </w:rPr>
        <w:t xml:space="preserve"> et </w:t>
      </w:r>
      <w:proofErr w:type="spellStart"/>
      <w:r w:rsidRPr="00042D90">
        <w:rPr>
          <w:b w:val="0"/>
          <w:bCs w:val="0"/>
          <w:sz w:val="24"/>
          <w:szCs w:val="24"/>
        </w:rPr>
        <w:t>al</w:t>
      </w:r>
      <w:proofErr w:type="spellEnd"/>
      <w:proofErr w:type="gramStart"/>
      <w:r w:rsidRPr="00042D90">
        <w:rPr>
          <w:b w:val="0"/>
          <w:bCs w:val="0"/>
          <w:sz w:val="24"/>
          <w:szCs w:val="24"/>
        </w:rPr>
        <w:t>.:</w:t>
      </w:r>
      <w:proofErr w:type="gramEnd"/>
      <w:r w:rsidRPr="00042D90">
        <w:rPr>
          <w:b w:val="0"/>
          <w:bCs w:val="0"/>
          <w:sz w:val="24"/>
          <w:szCs w:val="24"/>
        </w:rPr>
        <w:t xml:space="preserve"> The Multifaceted </w:t>
      </w:r>
      <w:proofErr w:type="spellStart"/>
      <w:r w:rsidRPr="00042D90">
        <w:rPr>
          <w:b w:val="0"/>
          <w:bCs w:val="0"/>
          <w:sz w:val="24"/>
          <w:szCs w:val="24"/>
        </w:rPr>
        <w:t>Role</w:t>
      </w:r>
      <w:proofErr w:type="spellEnd"/>
      <w:r w:rsidRPr="00042D90">
        <w:rPr>
          <w:b w:val="0"/>
          <w:bCs w:val="0"/>
          <w:sz w:val="24"/>
          <w:szCs w:val="24"/>
        </w:rPr>
        <w:t xml:space="preserve"> of </w:t>
      </w:r>
      <w:proofErr w:type="spellStart"/>
      <w:r w:rsidRPr="00042D90">
        <w:rPr>
          <w:b w:val="0"/>
          <w:bCs w:val="0"/>
          <w:sz w:val="24"/>
          <w:szCs w:val="24"/>
        </w:rPr>
        <w:t>Epoxide</w:t>
      </w:r>
      <w:proofErr w:type="spell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Hydrolases</w:t>
      </w:r>
      <w:proofErr w:type="spellEnd"/>
      <w:r w:rsidRPr="00042D90">
        <w:rPr>
          <w:b w:val="0"/>
          <w:bCs w:val="0"/>
          <w:sz w:val="24"/>
          <w:szCs w:val="24"/>
        </w:rPr>
        <w:t xml:space="preserve"> in Human Health and </w:t>
      </w:r>
      <w:proofErr w:type="spellStart"/>
      <w:r w:rsidRPr="00042D90">
        <w:rPr>
          <w:b w:val="0"/>
          <w:bCs w:val="0"/>
          <w:sz w:val="24"/>
          <w:szCs w:val="24"/>
        </w:rPr>
        <w:t>Disease</w:t>
      </w:r>
      <w:proofErr w:type="spellEnd"/>
      <w:r w:rsidRPr="00042D90">
        <w:rPr>
          <w:b w:val="0"/>
          <w:bCs w:val="0"/>
          <w:sz w:val="24"/>
          <w:szCs w:val="24"/>
        </w:rPr>
        <w:t xml:space="preserve">. Int J Mol </w:t>
      </w:r>
      <w:proofErr w:type="spellStart"/>
      <w:r w:rsidRPr="00042D90">
        <w:rPr>
          <w:b w:val="0"/>
          <w:bCs w:val="0"/>
          <w:sz w:val="24"/>
          <w:szCs w:val="24"/>
        </w:rPr>
        <w:t>Sci</w:t>
      </w:r>
      <w:proofErr w:type="spellEnd"/>
      <w:r w:rsidRPr="00042D90">
        <w:rPr>
          <w:b w:val="0"/>
          <w:bCs w:val="0"/>
          <w:sz w:val="24"/>
          <w:szCs w:val="24"/>
        </w:rPr>
        <w:t xml:space="preserve"> 2021</w:t>
      </w:r>
    </w:p>
    <w:p w:rsidR="00042D90" w:rsidRPr="00042D90" w:rsidRDefault="00042D90" w:rsidP="00042D90">
      <w:pPr>
        <w:pStyle w:val="Cmsor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proofErr w:type="spellStart"/>
      <w:r w:rsidRPr="00042D90">
        <w:rPr>
          <w:b w:val="0"/>
          <w:bCs w:val="0"/>
          <w:sz w:val="24"/>
          <w:szCs w:val="24"/>
        </w:rPr>
        <w:t>Allain</w:t>
      </w:r>
      <w:proofErr w:type="spellEnd"/>
      <w:r w:rsidRPr="00042D90">
        <w:rPr>
          <w:b w:val="0"/>
          <w:bCs w:val="0"/>
          <w:sz w:val="24"/>
          <w:szCs w:val="24"/>
        </w:rPr>
        <w:t xml:space="preserve"> et </w:t>
      </w:r>
      <w:proofErr w:type="spellStart"/>
      <w:r w:rsidRPr="00042D90">
        <w:rPr>
          <w:b w:val="0"/>
          <w:bCs w:val="0"/>
          <w:sz w:val="24"/>
          <w:szCs w:val="24"/>
        </w:rPr>
        <w:t>al</w:t>
      </w:r>
      <w:proofErr w:type="spellEnd"/>
      <w:proofErr w:type="gramStart"/>
      <w:r w:rsidRPr="00042D90">
        <w:rPr>
          <w:b w:val="0"/>
          <w:bCs w:val="0"/>
          <w:sz w:val="24"/>
          <w:szCs w:val="24"/>
        </w:rPr>
        <w:t>.:</w:t>
      </w:r>
      <w:proofErr w:type="gram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Emerging</w:t>
      </w:r>
      <w:proofErr w:type="spell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roles</w:t>
      </w:r>
      <w:proofErr w:type="spell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for</w:t>
      </w:r>
      <w:proofErr w:type="spellEnd"/>
      <w:r w:rsidRPr="00042D90">
        <w:rPr>
          <w:b w:val="0"/>
          <w:bCs w:val="0"/>
          <w:sz w:val="24"/>
          <w:szCs w:val="24"/>
        </w:rPr>
        <w:t xml:space="preserve"> UDP-</w:t>
      </w:r>
      <w:proofErr w:type="spellStart"/>
      <w:r w:rsidRPr="00042D90">
        <w:rPr>
          <w:b w:val="0"/>
          <w:bCs w:val="0"/>
          <w:sz w:val="24"/>
          <w:szCs w:val="24"/>
        </w:rPr>
        <w:t>glucuronosyltransferases</w:t>
      </w:r>
      <w:proofErr w:type="spellEnd"/>
      <w:r w:rsidRPr="00042D90">
        <w:rPr>
          <w:b w:val="0"/>
          <w:bCs w:val="0"/>
          <w:sz w:val="24"/>
          <w:szCs w:val="24"/>
        </w:rPr>
        <w:t xml:space="preserve"> in </w:t>
      </w:r>
      <w:proofErr w:type="spellStart"/>
      <w:r w:rsidRPr="00042D90">
        <w:rPr>
          <w:b w:val="0"/>
          <w:bCs w:val="0"/>
          <w:sz w:val="24"/>
          <w:szCs w:val="24"/>
        </w:rPr>
        <w:t>drug</w:t>
      </w:r>
      <w:proofErr w:type="spell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resistance</w:t>
      </w:r>
      <w:proofErr w:type="spellEnd"/>
      <w:r w:rsidRPr="00042D90">
        <w:rPr>
          <w:b w:val="0"/>
          <w:bCs w:val="0"/>
          <w:sz w:val="24"/>
          <w:szCs w:val="24"/>
        </w:rPr>
        <w:t xml:space="preserve"> and </w:t>
      </w:r>
      <w:proofErr w:type="spellStart"/>
      <w:r w:rsidRPr="00042D90">
        <w:rPr>
          <w:b w:val="0"/>
          <w:bCs w:val="0"/>
          <w:sz w:val="24"/>
          <w:szCs w:val="24"/>
        </w:rPr>
        <w:t>cancer</w:t>
      </w:r>
      <w:proofErr w:type="spellEnd"/>
      <w:r w:rsidRPr="00042D90">
        <w:rPr>
          <w:b w:val="0"/>
          <w:bCs w:val="0"/>
          <w:sz w:val="24"/>
          <w:szCs w:val="24"/>
        </w:rPr>
        <w:t xml:space="preserve"> </w:t>
      </w:r>
      <w:proofErr w:type="spellStart"/>
      <w:r w:rsidRPr="00042D90">
        <w:rPr>
          <w:b w:val="0"/>
          <w:bCs w:val="0"/>
          <w:sz w:val="24"/>
          <w:szCs w:val="24"/>
        </w:rPr>
        <w:t>progress</w:t>
      </w:r>
      <w:proofErr w:type="spellEnd"/>
      <w:r w:rsidRPr="00042D90">
        <w:rPr>
          <w:b w:val="0"/>
          <w:bCs w:val="0"/>
          <w:sz w:val="24"/>
          <w:szCs w:val="24"/>
        </w:rPr>
        <w:t xml:space="preserve">. Brit J </w:t>
      </w:r>
      <w:proofErr w:type="spellStart"/>
      <w:r w:rsidRPr="00042D90">
        <w:rPr>
          <w:b w:val="0"/>
          <w:bCs w:val="0"/>
          <w:sz w:val="24"/>
          <w:szCs w:val="24"/>
        </w:rPr>
        <w:t>Cancer</w:t>
      </w:r>
      <w:proofErr w:type="spellEnd"/>
      <w:r w:rsidRPr="00042D90">
        <w:rPr>
          <w:b w:val="0"/>
          <w:bCs w:val="0"/>
          <w:sz w:val="24"/>
          <w:szCs w:val="24"/>
        </w:rPr>
        <w:t xml:space="preserve"> 2020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lastRenderedPageBreak/>
        <w:t>Badée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Ontogeny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UDP-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glucuronosyltransferase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Profiling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Physiologically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Pharmacokinetic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Modelling.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Pharmacokin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Mohana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cytosolic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Glutathione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-S-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transferases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inhibition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isozymes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.: The multifaceted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glutathione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transferases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Lett 2018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Kurogi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SULT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polymorphisms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SULT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polymorphisms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Dispos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Foster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042D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Sulfation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SULT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polymorphisms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pharmacological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J Mol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Endocrinol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E et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Arylamine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acetyltransferases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metabolism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pharmacogenetics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. Brit J Pharmacol 2014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Krajcsi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P: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Drug-transporter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testing in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>. World J Pharmacol 2013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Neumaier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ZlatopolskiyBD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Neumaier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B: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Penetration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System: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Pharmacokinetic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and In Vitro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Systems,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Pharmaceutics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13(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10), 1542; </w:t>
      </w:r>
      <w:hyperlink r:id="rId5" w:history="1">
        <w:r w:rsidRPr="00042D90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https://doi.org/10.3390/pharmaceutics13101542</w:t>
        </w:r>
      </w:hyperlink>
    </w:p>
    <w:p w:rsidR="00042D90" w:rsidRPr="00042D90" w:rsidRDefault="00042D90" w:rsidP="00042D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 RGR,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Coutinho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AJ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Pinheiro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M, Neves AR: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? Int. J. Mol.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2021,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22(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21), 11654; </w:t>
      </w:r>
      <w:hyperlink r:id="rId6" w:history="1">
        <w:r w:rsidRPr="00042D90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https://doi.org/10.3390/ijms222111654</w:t>
        </w:r>
      </w:hyperlink>
    </w:p>
    <w:p w:rsidR="00042D90" w:rsidRPr="00042D90" w:rsidRDefault="00042D90" w:rsidP="00042D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Halmos G. A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biofarmácia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szemlélete és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farmakokinetikai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alapjai. in: Fejezetek a modern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biofarmáciából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. Debreceni Egyetem, 2011 </w:t>
      </w:r>
    </w:p>
    <w:p w:rsidR="00042D90" w:rsidRPr="00042D90" w:rsidRDefault="00042D90" w:rsidP="00042D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D90">
        <w:rPr>
          <w:rFonts w:ascii="Times New Roman" w:hAnsi="Times New Roman" w:cs="Times New Roman"/>
          <w:sz w:val="24"/>
          <w:szCs w:val="24"/>
        </w:rPr>
        <w:t>Dévay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D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2D90">
        <w:rPr>
          <w:rFonts w:ascii="Times New Roman" w:hAnsi="Times New Roman" w:cs="Times New Roman"/>
          <w:sz w:val="24"/>
          <w:szCs w:val="24"/>
        </w:rPr>
        <w:t xml:space="preserve">., Antal I. A gyógyszeres terápia </w:t>
      </w:r>
      <w:proofErr w:type="spellStart"/>
      <w:r w:rsidRPr="00042D90">
        <w:rPr>
          <w:rFonts w:ascii="Times New Roman" w:hAnsi="Times New Roman" w:cs="Times New Roman"/>
          <w:sz w:val="24"/>
          <w:szCs w:val="24"/>
        </w:rPr>
        <w:t>biofarmáciai</w:t>
      </w:r>
      <w:proofErr w:type="spellEnd"/>
      <w:r w:rsidRPr="00042D90">
        <w:rPr>
          <w:rFonts w:ascii="Times New Roman" w:hAnsi="Times New Roman" w:cs="Times New Roman"/>
          <w:sz w:val="24"/>
          <w:szCs w:val="24"/>
        </w:rPr>
        <w:t xml:space="preserve"> alapjai. Medicina, 2009</w:t>
      </w:r>
    </w:p>
    <w:p w:rsidR="00042D90" w:rsidRPr="00042D90" w:rsidRDefault="00042D90" w:rsidP="00042D9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4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90" w:rsidRPr="00042D90" w:rsidRDefault="00042D90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5750" w:rsidRDefault="008D429B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042D90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 w:rsidR="00452E6F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Gasztrointesztinális</w:t>
      </w:r>
      <w:proofErr w:type="spellEnd"/>
      <w:r w:rsidR="00452E6F" w:rsidRPr="00042D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565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farmakológia és terápia</w:t>
      </w:r>
    </w:p>
    <w:p w:rsidR="00EF5750" w:rsidRPr="007D4399" w:rsidRDefault="00EF5750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Tételek: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1. A gyomor- és nyombélfekély gyógyszerei és kezelésének irányelvei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gastrooesophagealis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reflux betegség gyógyszerei és kezelésének irányelvei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funkcionális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diszpepszia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gyógyszerei és kezelésének irányelvei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4. Hashajtók és hasmenést gátló szerek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irritábilis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 szindróma gyógyszerei és kezelésének irányelvei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gyulladásos bélbetegségek gyógyszerei és kezelésének irányelvei</w:t>
      </w:r>
    </w:p>
    <w:p w:rsidR="00452E6F" w:rsidRPr="00B9231A" w:rsidRDefault="00452E6F" w:rsidP="00042D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Hányáscsillapítók,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prokinetikus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szerek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E6F" w:rsidRPr="005E6D08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6D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Farmakológia és klinikai farmakológia (2020, Szerkesztők: Fürst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Gyires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Ferdinandy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P)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Basic &amp;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Pharmacology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15th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(2021,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Katzung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B.G.)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Allgemeine und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spezielle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Pharmakologie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Toxikologie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12th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Auflage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(2017,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Aktories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Förstermann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U., Hofmann B.,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Starke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Kavitt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RT,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Lipowska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Anyane-Yeboa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Gralnek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Diagnosis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Peptic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Ulcer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 J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2019 Apr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;132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(4):447-456.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Sandhu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DS,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Fass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Gastroesophageal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Reflux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Liver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2018 Jan 15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;12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(1):7-16.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Fuchs KH,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Babic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Breithaupt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Dallemagne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Fingerhut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Furnee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E, et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 European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Endoscopic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Surgery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(EAES). EAES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recommendations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gastroesophageal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reflux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Surg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Endosc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2014 Jun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;28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(6):1753-73.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Moayyedi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Lacy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BE, Andrews CN, Enns RA,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Howden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CW,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Vakil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N. ACG and CAG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Management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Dyspepsia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 J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Gastroenterol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2017 Jul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;112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(7):988-1013.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Quigley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Gwee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Khalif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I, Hungin AP,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Lindberg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et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Team. World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Gastroenterology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Organisation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Global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Irritable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Bowel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Syndrome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Global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Perspective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Update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J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Clin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Gastroenterol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2016 Oct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;50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(9):704-13.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Torres J,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Bonovas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Doherty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Kucharzik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Gisbert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JP,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Raine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T, et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ECCO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Therapeutics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Crohn's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Crohns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Colitis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. 2020 Jan 1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;14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(1):4-22.</w:t>
      </w:r>
    </w:p>
    <w:p w:rsidR="00452E6F" w:rsidRPr="00B9231A" w:rsidRDefault="00452E6F" w:rsidP="0045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Harbord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Eliakim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Bettenworth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Karmiris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Katsanos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K,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Kopylov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U, et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European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Crohn’s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Colitis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Organisation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[ECCO].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Evidence-based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Consensus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Diagnosis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 of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Ulcerative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Colitis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Part 2: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Management. J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Crohns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Colitis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2017 </w:t>
      </w:r>
      <w:proofErr w:type="spell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Jul</w:t>
      </w:r>
      <w:proofErr w:type="spell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proofErr w:type="gramStart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;11</w:t>
      </w:r>
      <w:proofErr w:type="gramEnd"/>
      <w:r w:rsidRPr="00B9231A">
        <w:rPr>
          <w:rFonts w:ascii="Times New Roman" w:eastAsia="Times New Roman" w:hAnsi="Times New Roman" w:cs="Times New Roman"/>
          <w:sz w:val="24"/>
          <w:szCs w:val="24"/>
          <w:lang w:eastAsia="hu-HU"/>
        </w:rPr>
        <w:t>(7):769-784.</w:t>
      </w:r>
    </w:p>
    <w:p w:rsidR="007D4399" w:rsidRDefault="007D4399" w:rsidP="007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399" w:rsidRDefault="007D4399" w:rsidP="007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E6D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Kardiovaszkuláris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farmakológia és terápia</w:t>
      </w:r>
    </w:p>
    <w:p w:rsidR="007D4399" w:rsidRDefault="00EF5750" w:rsidP="007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Tételek:</w:t>
      </w:r>
    </w:p>
    <w:p w:rsidR="00EF5750" w:rsidRDefault="00EF5750" w:rsidP="007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A véralvadást befolyásoló gyógyszerek I: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thrombocyta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gátlók.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A véralvadást befolyásoló gyógyszerek II: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antikoagulánsok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fibrinolítikumok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>.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lipidanyagcserére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ható gyógyszerek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750">
        <w:rPr>
          <w:rFonts w:ascii="Times New Roman" w:hAnsi="Times New Roman" w:cs="Times New Roman"/>
          <w:sz w:val="24"/>
          <w:szCs w:val="24"/>
        </w:rPr>
        <w:t>Iszkémiás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szívbetegség komplex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farmakoterápiája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(prevenció, stabil angina, akut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koronária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szindróma)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Az akut szívelégtelenség gyógyszeres kezelése: pozitív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inotrópok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és egyéb szerek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A krónikus szívelégtelenség gyógyszeres kezelése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 xml:space="preserve">Antiaritmiás szerek: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supraventrikuláris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aritmiák kezelése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750">
        <w:rPr>
          <w:rFonts w:ascii="Times New Roman" w:hAnsi="Times New Roman" w:cs="Times New Roman"/>
          <w:sz w:val="24"/>
          <w:szCs w:val="24"/>
        </w:rPr>
        <w:t>Antiaritmiás szerek: kamrai aritmiák kezelése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750">
        <w:rPr>
          <w:rFonts w:ascii="Times New Roman" w:hAnsi="Times New Roman" w:cs="Times New Roman"/>
          <w:sz w:val="24"/>
          <w:szCs w:val="24"/>
        </w:rPr>
        <w:t>Hypertonia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gyógyszeres kezelése: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F5750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EF575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F5750">
        <w:rPr>
          <w:rFonts w:ascii="Times New Roman" w:hAnsi="Times New Roman" w:cs="Times New Roman"/>
          <w:sz w:val="24"/>
          <w:szCs w:val="24"/>
        </w:rPr>
        <w:t>csatorna blokkolók</w:t>
      </w:r>
      <w:proofErr w:type="gramEnd"/>
      <w:r w:rsidRPr="00EF5750">
        <w:rPr>
          <w:rFonts w:ascii="Times New Roman" w:hAnsi="Times New Roman" w:cs="Times New Roman"/>
          <w:sz w:val="24"/>
          <w:szCs w:val="24"/>
        </w:rPr>
        <w:t xml:space="preserve"> és egyéb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vazodilatátorok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>, béta-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adrenerg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receptor gátlók</w:t>
      </w:r>
    </w:p>
    <w:p w:rsidR="00EF5750" w:rsidRPr="00EF5750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5750">
        <w:rPr>
          <w:rFonts w:ascii="Times New Roman" w:hAnsi="Times New Roman" w:cs="Times New Roman"/>
          <w:sz w:val="24"/>
          <w:szCs w:val="24"/>
        </w:rPr>
        <w:t>Hypertonia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gyógyszeres kezelése: a </w:t>
      </w:r>
      <w:proofErr w:type="spellStart"/>
      <w:r w:rsidRPr="00EF5750">
        <w:rPr>
          <w:rFonts w:ascii="Times New Roman" w:hAnsi="Times New Roman" w:cs="Times New Roman"/>
          <w:sz w:val="24"/>
          <w:szCs w:val="24"/>
        </w:rPr>
        <w:t>renin-angiotenzin-aldoszteron</w:t>
      </w:r>
      <w:proofErr w:type="spellEnd"/>
      <w:r w:rsidRPr="00EF5750">
        <w:rPr>
          <w:rFonts w:ascii="Times New Roman" w:hAnsi="Times New Roman" w:cs="Times New Roman"/>
          <w:sz w:val="24"/>
          <w:szCs w:val="24"/>
        </w:rPr>
        <w:t xml:space="preserve"> rendszerre ható gyógyszerek</w:t>
      </w:r>
    </w:p>
    <w:p w:rsidR="00EF5750" w:rsidRPr="003A6C73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C7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A6C73">
        <w:rPr>
          <w:rFonts w:ascii="Times New Roman" w:hAnsi="Times New Roman" w:cs="Times New Roman"/>
          <w:sz w:val="24"/>
          <w:szCs w:val="24"/>
        </w:rPr>
        <w:t>hypertonia</w:t>
      </w:r>
      <w:proofErr w:type="spellEnd"/>
      <w:r w:rsidRPr="003A6C73">
        <w:rPr>
          <w:rFonts w:ascii="Times New Roman" w:hAnsi="Times New Roman" w:cs="Times New Roman"/>
          <w:sz w:val="24"/>
          <w:szCs w:val="24"/>
        </w:rPr>
        <w:t xml:space="preserve"> komplex kezelési stratégiája (kombinációk, kezelési elvek, speciális betegcsoportok)</w:t>
      </w:r>
    </w:p>
    <w:p w:rsidR="00EF5750" w:rsidRPr="003A6C73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6C73">
        <w:rPr>
          <w:rFonts w:ascii="Times New Roman" w:hAnsi="Times New Roman" w:cs="Times New Roman"/>
          <w:sz w:val="24"/>
          <w:szCs w:val="24"/>
        </w:rPr>
        <w:t>Diuretikumok</w:t>
      </w:r>
      <w:proofErr w:type="spellEnd"/>
      <w:r w:rsidRPr="003A6C73">
        <w:rPr>
          <w:rFonts w:ascii="Times New Roman" w:hAnsi="Times New Roman" w:cs="Times New Roman"/>
          <w:sz w:val="24"/>
          <w:szCs w:val="24"/>
        </w:rPr>
        <w:t>.</w:t>
      </w:r>
    </w:p>
    <w:p w:rsidR="00EF5750" w:rsidRPr="003A6C73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C73">
        <w:rPr>
          <w:rFonts w:ascii="Times New Roman" w:hAnsi="Times New Roman" w:cs="Times New Roman"/>
          <w:sz w:val="24"/>
          <w:szCs w:val="24"/>
        </w:rPr>
        <w:t>1-es típusú diabetes mellitus farmakológiai kezelése</w:t>
      </w:r>
    </w:p>
    <w:p w:rsidR="00EF5750" w:rsidRPr="003A6C73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C73">
        <w:rPr>
          <w:rFonts w:ascii="Times New Roman" w:hAnsi="Times New Roman" w:cs="Times New Roman"/>
          <w:sz w:val="24"/>
          <w:szCs w:val="24"/>
        </w:rPr>
        <w:t>2-es típusú diabetes mellitus farmakológiai kezelése</w:t>
      </w:r>
    </w:p>
    <w:p w:rsidR="00EF5750" w:rsidRPr="003A6C73" w:rsidRDefault="00EF5750" w:rsidP="00EF5750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C73">
        <w:rPr>
          <w:rFonts w:ascii="Times New Roman" w:hAnsi="Times New Roman" w:cs="Times New Roman"/>
          <w:sz w:val="24"/>
          <w:szCs w:val="24"/>
        </w:rPr>
        <w:t>Akut és krónikus köszvény farmakológiai kezelése</w:t>
      </w:r>
    </w:p>
    <w:p w:rsidR="00EF5750" w:rsidRDefault="00EF5750" w:rsidP="00EF5750"/>
    <w:p w:rsidR="00EF5750" w:rsidRPr="003A6C73" w:rsidRDefault="00EF5750" w:rsidP="00EF57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73">
        <w:rPr>
          <w:rFonts w:ascii="Times New Roman" w:hAnsi="Times New Roman" w:cs="Times New Roman"/>
          <w:b/>
          <w:sz w:val="24"/>
          <w:szCs w:val="24"/>
          <w:u w:val="single"/>
        </w:rPr>
        <w:t>Ajánlott irodalom, kapcsolódó tankönyvek:</w:t>
      </w:r>
    </w:p>
    <w:p w:rsidR="00EF5750" w:rsidRPr="003A6C73" w:rsidRDefault="00EF5750" w:rsidP="00EF57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C73">
        <w:rPr>
          <w:rFonts w:ascii="Times New Roman" w:hAnsi="Times New Roman" w:cs="Times New Roman"/>
          <w:sz w:val="24"/>
          <w:szCs w:val="24"/>
        </w:rPr>
        <w:t>Gyires</w:t>
      </w:r>
      <w:proofErr w:type="spellEnd"/>
      <w:r w:rsidRPr="003A6C73">
        <w:rPr>
          <w:rFonts w:ascii="Times New Roman" w:hAnsi="Times New Roman" w:cs="Times New Roman"/>
          <w:sz w:val="24"/>
          <w:szCs w:val="24"/>
        </w:rPr>
        <w:t>-Fürst-</w:t>
      </w:r>
      <w:proofErr w:type="spellStart"/>
      <w:r w:rsidRPr="003A6C73">
        <w:rPr>
          <w:rFonts w:ascii="Times New Roman" w:hAnsi="Times New Roman" w:cs="Times New Roman"/>
          <w:sz w:val="24"/>
          <w:szCs w:val="24"/>
        </w:rPr>
        <w:t>Ferdinandy</w:t>
      </w:r>
      <w:proofErr w:type="spellEnd"/>
      <w:r w:rsidRPr="003A6C73">
        <w:rPr>
          <w:rFonts w:ascii="Times New Roman" w:hAnsi="Times New Roman" w:cs="Times New Roman"/>
          <w:sz w:val="24"/>
          <w:szCs w:val="24"/>
        </w:rPr>
        <w:t xml:space="preserve">: Farmakológia és </w:t>
      </w:r>
      <w:proofErr w:type="spellStart"/>
      <w:r w:rsidRPr="003A6C73">
        <w:rPr>
          <w:rFonts w:ascii="Times New Roman" w:hAnsi="Times New Roman" w:cs="Times New Roman"/>
          <w:sz w:val="24"/>
          <w:szCs w:val="24"/>
        </w:rPr>
        <w:t>Farmakoterápia</w:t>
      </w:r>
      <w:proofErr w:type="spellEnd"/>
    </w:p>
    <w:p w:rsidR="00EF5750" w:rsidRPr="003A6C73" w:rsidRDefault="00EF5750" w:rsidP="00EF5750">
      <w:pPr>
        <w:rPr>
          <w:rFonts w:ascii="Times New Roman" w:hAnsi="Times New Roman" w:cs="Times New Roman"/>
          <w:sz w:val="24"/>
          <w:szCs w:val="24"/>
        </w:rPr>
      </w:pPr>
      <w:r w:rsidRPr="003A6C73">
        <w:rPr>
          <w:rFonts w:ascii="Times New Roman" w:hAnsi="Times New Roman" w:cs="Times New Roman"/>
          <w:sz w:val="24"/>
          <w:szCs w:val="24"/>
        </w:rPr>
        <w:t>Szegedi Nándor: Kardiológia zsebkönyv (szak</w:t>
      </w:r>
      <w:proofErr w:type="gramStart"/>
      <w:r w:rsidRPr="003A6C73">
        <w:rPr>
          <w:rFonts w:ascii="Times New Roman" w:hAnsi="Times New Roman" w:cs="Times New Roman"/>
          <w:sz w:val="24"/>
          <w:szCs w:val="24"/>
        </w:rPr>
        <w:t>)vizsgára</w:t>
      </w:r>
      <w:proofErr w:type="gramEnd"/>
      <w:r w:rsidRPr="003A6C73">
        <w:rPr>
          <w:rFonts w:ascii="Times New Roman" w:hAnsi="Times New Roman" w:cs="Times New Roman"/>
          <w:sz w:val="24"/>
          <w:szCs w:val="24"/>
        </w:rPr>
        <w:t xml:space="preserve"> készülőknek</w:t>
      </w:r>
    </w:p>
    <w:p w:rsidR="00EF5750" w:rsidRPr="003A6C73" w:rsidRDefault="00EF5750" w:rsidP="00EF57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C73">
        <w:rPr>
          <w:rFonts w:ascii="Times New Roman" w:hAnsi="Times New Roman" w:cs="Times New Roman"/>
          <w:sz w:val="24"/>
          <w:szCs w:val="24"/>
        </w:rPr>
        <w:t>Merkely</w:t>
      </w:r>
      <w:proofErr w:type="spellEnd"/>
      <w:r w:rsidRPr="003A6C73">
        <w:rPr>
          <w:rFonts w:ascii="Times New Roman" w:hAnsi="Times New Roman" w:cs="Times New Roman"/>
          <w:sz w:val="24"/>
          <w:szCs w:val="24"/>
        </w:rPr>
        <w:t xml:space="preserve"> Béla: Kardiológia</w:t>
      </w:r>
    </w:p>
    <w:p w:rsidR="00EF5750" w:rsidRPr="003A6C73" w:rsidRDefault="00EF5750" w:rsidP="00EF57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C73">
        <w:rPr>
          <w:rFonts w:ascii="Times New Roman" w:hAnsi="Times New Roman" w:cs="Times New Roman"/>
          <w:sz w:val="24"/>
          <w:szCs w:val="24"/>
        </w:rPr>
        <w:t>L.H</w:t>
      </w:r>
      <w:proofErr w:type="gramStart"/>
      <w:r w:rsidRPr="003A6C73">
        <w:rPr>
          <w:rFonts w:ascii="Times New Roman" w:hAnsi="Times New Roman" w:cs="Times New Roman"/>
          <w:sz w:val="24"/>
          <w:szCs w:val="24"/>
        </w:rPr>
        <w:t>.Opie</w:t>
      </w:r>
      <w:proofErr w:type="spellEnd"/>
      <w:proofErr w:type="gramEnd"/>
      <w:r w:rsidRPr="003A6C73">
        <w:rPr>
          <w:rFonts w:ascii="Times New Roman" w:hAnsi="Times New Roman" w:cs="Times New Roman"/>
          <w:sz w:val="24"/>
          <w:szCs w:val="24"/>
        </w:rPr>
        <w:t>: Gyógyszeres kezelés a kardiológiában</w:t>
      </w:r>
    </w:p>
    <w:p w:rsidR="007D4399" w:rsidRPr="007D4399" w:rsidRDefault="007D4399" w:rsidP="007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4399" w:rsidRPr="007D4399" w:rsidRDefault="007D4399" w:rsidP="007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25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7D43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52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Idegrendszeri farmakológia és terápia</w:t>
      </w:r>
    </w:p>
    <w:p w:rsidR="00584678" w:rsidRDefault="005F6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Tételek: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Neurotranszmisszió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a központi idegrendszerbe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Neurodegeneratív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betegségek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neurokémiája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és farmakológiája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>A fájdalom transzmisszió élettana, a fájdalomcsillapítás farmakológiája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króniukus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fájdalmak molekuláris háttere, farmakológiai befolyásolásuk lehetőségei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monoaminerg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rendszerek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neurokémiája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>, a hangulat és szorongásos zavarok farmakológiája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dopaminerg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rendszerek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neurokémiája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antipszichotikumok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farmakológiája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 xml:space="preserve">Az aminosav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transzmitterek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glutamát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glicin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neurokémiája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és befolyásolásuk lehetőségei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 xml:space="preserve">A GABA transzmisszió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neurokémiája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benzodiazepinek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és egyéb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GABAerg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szerek farmakológiája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Peptiderg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neurotranszmisszió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és befolyásolásának lehetőségei</w:t>
      </w:r>
    </w:p>
    <w:p w:rsidR="005F6129" w:rsidRPr="005F6129" w:rsidRDefault="005F6129" w:rsidP="005F6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>Szerhasználati zavarok, az abúzust kiváltó szerek farmakológiája</w:t>
      </w:r>
    </w:p>
    <w:p w:rsidR="005F6129" w:rsidRDefault="005F6129" w:rsidP="005F6129"/>
    <w:p w:rsidR="005F6129" w:rsidRPr="005F6129" w:rsidRDefault="005F6129" w:rsidP="005F6129">
      <w:pPr>
        <w:rPr>
          <w:rFonts w:ascii="Times New Roman" w:hAnsi="Times New Roman" w:cs="Times New Roman"/>
          <w:sz w:val="24"/>
          <w:szCs w:val="24"/>
        </w:rPr>
      </w:pPr>
      <w:r w:rsidRPr="005F6129">
        <w:rPr>
          <w:rFonts w:ascii="Times New Roman" w:hAnsi="Times New Roman" w:cs="Times New Roman"/>
          <w:sz w:val="24"/>
          <w:szCs w:val="24"/>
        </w:rPr>
        <w:t>Irodalom: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Gyires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K, Fürst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Ferdinándy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P: Farmakológia és Klinikai Farmakológia, 29-38. fejezet (Medicina) 2020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BG,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Vanderah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TW: Basic and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15th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21-32 (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Hill) 2021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Bridgestock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Rae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CP: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5F6129">
        <w:rPr>
          <w:rFonts w:ascii="Times New Roman" w:hAnsi="Times New Roman" w:cs="Times New Roman"/>
          <w:sz w:val="24"/>
          <w:szCs w:val="24"/>
        </w:rPr>
        <w:t>;14</w:t>
      </w:r>
      <w:proofErr w:type="gramEnd"/>
      <w:r w:rsidRPr="005F6129">
        <w:rPr>
          <w:rFonts w:ascii="Times New Roman" w:hAnsi="Times New Roman" w:cs="Times New Roman"/>
          <w:sz w:val="24"/>
          <w:szCs w:val="24"/>
        </w:rPr>
        <w:t>:480-483 (https://doi.org/10.1016/j.mpaic.2013.08.004)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Style w:val="docsum-authors"/>
          <w:rFonts w:ascii="Times New Roman" w:hAnsi="Times New Roman" w:cs="Times New Roman"/>
          <w:bCs/>
          <w:sz w:val="24"/>
          <w:szCs w:val="24"/>
        </w:rPr>
        <w:t>Al-Khrasani</w:t>
      </w:r>
      <w:proofErr w:type="spellEnd"/>
      <w:r w:rsidRPr="005F6129">
        <w:rPr>
          <w:rStyle w:val="docsum-authors"/>
          <w:rFonts w:ascii="Times New Roman" w:hAnsi="Times New Roman" w:cs="Times New Roman"/>
          <w:bCs/>
          <w:sz w:val="24"/>
          <w:szCs w:val="24"/>
        </w:rPr>
        <w:t xml:space="preserve"> M</w:t>
      </w:r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Mohammadzadeh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</w:t>
      </w:r>
      <w:proofErr w:type="gram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Balogh M, Király K, Barsi S, Hajnal B, Köles L, Zádori ZS, Harsing LG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Jr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Glycine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transporter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inhibitors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new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avenue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for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managing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neuropathic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pain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Brain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Res Bull. 2019</w:t>
      </w:r>
      <w:proofErr w:type="gram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;152</w:t>
      </w:r>
      <w:proofErr w:type="gram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:143-158. (10.1016/j.brainresbull.2019.07.008)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t>Jaronczyk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Walory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J: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Molecules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2022, 27, 533.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Antidepressants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(https://doi.org/10.3390/molecules27020533)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Fonts w:ascii="Times New Roman" w:hAnsi="Times New Roman" w:cs="Times New Roman"/>
          <w:sz w:val="24"/>
          <w:szCs w:val="24"/>
        </w:rPr>
        <w:lastRenderedPageBreak/>
        <w:t>Wang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Q,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Dwivedi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Y: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antidepressants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Neuro-Psychopharmacology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5F6129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Start"/>
      <w:r w:rsidRPr="005F6129">
        <w:rPr>
          <w:rFonts w:ascii="Times New Roman" w:hAnsi="Times New Roman" w:cs="Times New Roman"/>
          <w:sz w:val="24"/>
          <w:szCs w:val="24"/>
        </w:rPr>
        <w:t>;104</w:t>
      </w:r>
      <w:proofErr w:type="gramEnd"/>
      <w:r w:rsidRPr="005F6129">
        <w:rPr>
          <w:rFonts w:ascii="Times New Roman" w:hAnsi="Times New Roman" w:cs="Times New Roman"/>
          <w:sz w:val="24"/>
          <w:szCs w:val="24"/>
        </w:rPr>
        <w:t>: 110041 (</w:t>
      </w:r>
      <w:hyperlink r:id="rId7" w:history="1">
        <w:r w:rsidRPr="005F6129">
          <w:rPr>
            <w:rFonts w:ascii="Times New Roman" w:hAnsi="Times New Roman" w:cs="Times New Roman"/>
            <w:sz w:val="24"/>
            <w:szCs w:val="24"/>
          </w:rPr>
          <w:t>10.1016/j.pnpbp.2020.110041</w:t>
        </w:r>
      </w:hyperlink>
      <w:r w:rsidRPr="005F6129">
        <w:rPr>
          <w:rFonts w:ascii="Times New Roman" w:hAnsi="Times New Roman" w:cs="Times New Roman"/>
          <w:sz w:val="24"/>
          <w:szCs w:val="24"/>
        </w:rPr>
        <w:t>)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Style w:val="docsum-journal-citation"/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McCutcheon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Abi-Dargham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</w:t>
      </w:r>
      <w:proofErr w:type="gram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Howes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OD: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Schizophrenia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Dopamine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the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Striatum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From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Biology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to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Symptoms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Trends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Neurosci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. 2019</w:t>
      </w:r>
      <w:proofErr w:type="gram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;42</w:t>
      </w:r>
      <w:proofErr w:type="gram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:205-220 (10.1016/j.tins.2018.12.004)</w:t>
      </w:r>
    </w:p>
    <w:p w:rsidR="005F6129" w:rsidRPr="005F6129" w:rsidRDefault="005F6129" w:rsidP="005F612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Ghit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</w:t>
      </w:r>
      <w:proofErr w:type="gram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Assal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Al-Shami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AS,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Hussein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DEE: GABA(A)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receptors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function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related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5F6129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Genet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Eng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. 2021</w:t>
      </w:r>
      <w:proofErr w:type="gramStart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;19</w:t>
      </w:r>
      <w:proofErr w:type="gramEnd"/>
      <w:r w:rsidRPr="005F6129">
        <w:rPr>
          <w:rStyle w:val="docsum-journal-citation"/>
          <w:rFonts w:ascii="Times New Roman" w:hAnsi="Times New Roman" w:cs="Times New Roman"/>
          <w:sz w:val="24"/>
          <w:szCs w:val="24"/>
        </w:rPr>
        <w:t>:123 (10.1186/s43141-021-00224-0)</w:t>
      </w:r>
    </w:p>
    <w:p w:rsidR="005F6129" w:rsidRDefault="005F6129">
      <w:pPr>
        <w:rPr>
          <w:rFonts w:ascii="Times New Roman" w:hAnsi="Times New Roman" w:cs="Times New Roman"/>
          <w:sz w:val="24"/>
          <w:szCs w:val="24"/>
        </w:rPr>
      </w:pPr>
    </w:p>
    <w:p w:rsidR="00FD3D3E" w:rsidRPr="00FD3D3E" w:rsidRDefault="00067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FD3D3E" w:rsidRPr="00FD3D3E">
        <w:rPr>
          <w:rFonts w:ascii="Times New Roman" w:hAnsi="Times New Roman" w:cs="Times New Roman"/>
          <w:b/>
          <w:sz w:val="24"/>
          <w:szCs w:val="24"/>
        </w:rPr>
        <w:t>Immun- és gyulladásos farmakológia, terápia</w:t>
      </w:r>
      <w:r w:rsidR="0015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D3D3E" w:rsidRPr="00F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63F"/>
    <w:multiLevelType w:val="hybridMultilevel"/>
    <w:tmpl w:val="7FFEB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2F2"/>
    <w:multiLevelType w:val="hybridMultilevel"/>
    <w:tmpl w:val="265CF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776"/>
    <w:multiLevelType w:val="hybridMultilevel"/>
    <w:tmpl w:val="D846A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A62"/>
    <w:multiLevelType w:val="hybridMultilevel"/>
    <w:tmpl w:val="C8F4B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F"/>
    <w:rsid w:val="00042D90"/>
    <w:rsid w:val="00067168"/>
    <w:rsid w:val="000D1759"/>
    <w:rsid w:val="001564FA"/>
    <w:rsid w:val="002F5258"/>
    <w:rsid w:val="003A6C73"/>
    <w:rsid w:val="00452E6F"/>
    <w:rsid w:val="004632D9"/>
    <w:rsid w:val="004F6C71"/>
    <w:rsid w:val="005E6D08"/>
    <w:rsid w:val="005F6129"/>
    <w:rsid w:val="00623FAB"/>
    <w:rsid w:val="00652E6B"/>
    <w:rsid w:val="006A0630"/>
    <w:rsid w:val="007D4399"/>
    <w:rsid w:val="008D429B"/>
    <w:rsid w:val="00A96F00"/>
    <w:rsid w:val="00AB52D1"/>
    <w:rsid w:val="00B9231A"/>
    <w:rsid w:val="00C25068"/>
    <w:rsid w:val="00C56536"/>
    <w:rsid w:val="00C56D76"/>
    <w:rsid w:val="00CF07DC"/>
    <w:rsid w:val="00DB20CA"/>
    <w:rsid w:val="00EF5750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5EDC"/>
  <w15:docId w15:val="{F4A57CE2-1412-40CB-ACBB-848F5FC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42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D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42D90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2D90"/>
    <w:rPr>
      <w:color w:val="0000FF" w:themeColor="hyperlink"/>
      <w:u w:val="single"/>
    </w:rPr>
  </w:style>
  <w:style w:type="character" w:customStyle="1" w:styleId="docsum-authors">
    <w:name w:val="docsum-authors"/>
    <w:basedOn w:val="Bekezdsalapbettpusa"/>
    <w:rsid w:val="005F6129"/>
  </w:style>
  <w:style w:type="character" w:customStyle="1" w:styleId="docsum-journal-citation">
    <w:name w:val="docsum-journal-citation"/>
    <w:basedOn w:val="Bekezdsalapbettpusa"/>
    <w:rsid w:val="005F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npbp.2020.11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ijms222111654" TargetMode="External"/><Relationship Id="rId5" Type="http://schemas.openxmlformats.org/officeDocument/2006/relationships/hyperlink" Target="https://doi.org/10.3390/pharmaceutics131015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1577</Words>
  <Characters>10883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Kelemen Dávid Márk</cp:lastModifiedBy>
  <cp:revision>29</cp:revision>
  <dcterms:created xsi:type="dcterms:W3CDTF">2022-01-31T14:08:00Z</dcterms:created>
  <dcterms:modified xsi:type="dcterms:W3CDTF">2022-04-28T09:06:00Z</dcterms:modified>
</cp:coreProperties>
</file>