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35F" w:rsidRDefault="0070035F" w:rsidP="0070035F">
      <w:pPr>
        <w:spacing w:line="300" w:lineRule="exact"/>
        <w:jc w:val="center"/>
        <w:outlineLvl w:val="1"/>
        <w:rPr>
          <w:rFonts w:eastAsiaTheme="minorHAnsi"/>
          <w:b/>
          <w:sz w:val="28"/>
          <w:szCs w:val="28"/>
        </w:rPr>
      </w:pPr>
      <w:bookmarkStart w:id="0" w:name="_Toc33093785"/>
      <w:bookmarkStart w:id="1" w:name="_GoBack"/>
      <w:r>
        <w:rPr>
          <w:rFonts w:eastAsiaTheme="minorHAnsi"/>
          <w:b/>
          <w:sz w:val="28"/>
          <w:szCs w:val="28"/>
        </w:rPr>
        <w:t>Appendix III.3</w:t>
      </w:r>
      <w:r w:rsidRPr="004B2B6E">
        <w:rPr>
          <w:rFonts w:eastAsiaTheme="minorHAnsi"/>
          <w:b/>
          <w:sz w:val="28"/>
          <w:szCs w:val="28"/>
        </w:rPr>
        <w:t>.</w:t>
      </w:r>
      <w:r w:rsidRPr="004B2B6E" w:rsidDel="00B20A29">
        <w:rPr>
          <w:rFonts w:eastAsiaTheme="minorHAnsi"/>
          <w:b/>
          <w:sz w:val="28"/>
          <w:szCs w:val="28"/>
        </w:rPr>
        <w:t xml:space="preserve"> </w:t>
      </w:r>
      <w:r>
        <w:rPr>
          <w:rFonts w:eastAsiaTheme="minorHAnsi"/>
          <w:b/>
          <w:sz w:val="28"/>
          <w:szCs w:val="28"/>
        </w:rPr>
        <w:t>- 4.</w:t>
      </w:r>
      <w:r w:rsidRPr="004B2B6E">
        <w:rPr>
          <w:rFonts w:eastAsiaTheme="minorHAnsi"/>
          <w:b/>
          <w:sz w:val="28"/>
          <w:szCs w:val="28"/>
        </w:rPr>
        <w:t xml:space="preserve"> </w:t>
      </w:r>
      <w:bookmarkEnd w:id="0"/>
    </w:p>
    <w:bookmarkEnd w:id="1"/>
    <w:p w:rsidR="0070035F" w:rsidRDefault="0070035F" w:rsidP="0070035F">
      <w:pPr>
        <w:spacing w:line="300" w:lineRule="exact"/>
        <w:jc w:val="center"/>
        <w:outlineLvl w:val="1"/>
        <w:rPr>
          <w:rFonts w:eastAsiaTheme="minorHAnsi"/>
          <w:b/>
          <w:sz w:val="28"/>
          <w:szCs w:val="28"/>
        </w:rPr>
      </w:pPr>
    </w:p>
    <w:p w:rsidR="0070035F" w:rsidRPr="00D35321" w:rsidRDefault="0070035F" w:rsidP="0070035F">
      <w:pPr>
        <w:pStyle w:val="Cm"/>
        <w:spacing w:after="0"/>
        <w:jc w:val="right"/>
        <w:rPr>
          <w:b w:val="0"/>
          <w:sz w:val="20"/>
          <w:szCs w:val="20"/>
          <w:lang w:val="en-GB"/>
        </w:rPr>
      </w:pPr>
      <w:proofErr w:type="spellStart"/>
      <w:r w:rsidRPr="00D35321">
        <w:rPr>
          <w:b w:val="0"/>
          <w:sz w:val="20"/>
          <w:szCs w:val="20"/>
          <w:lang w:val="en-GB"/>
        </w:rPr>
        <w:t>Semmelweis</w:t>
      </w:r>
      <w:proofErr w:type="spellEnd"/>
      <w:r w:rsidRPr="00D35321">
        <w:rPr>
          <w:b w:val="0"/>
          <w:sz w:val="20"/>
          <w:szCs w:val="20"/>
          <w:lang w:val="en-GB"/>
        </w:rPr>
        <w:t xml:space="preserve"> University</w:t>
      </w:r>
    </w:p>
    <w:p w:rsidR="0070035F" w:rsidRPr="00D35321" w:rsidRDefault="0070035F" w:rsidP="0070035F">
      <w:pPr>
        <w:pStyle w:val="Alcm"/>
        <w:spacing w:after="0"/>
        <w:jc w:val="right"/>
        <w:rPr>
          <w:rFonts w:ascii="Times New Roman" w:hAnsi="Times New Roman" w:cs="Times New Roman"/>
          <w:i/>
          <w:color w:val="000000"/>
          <w:sz w:val="20"/>
          <w:szCs w:val="20"/>
          <w:lang w:val="en-GB"/>
        </w:rPr>
      </w:pPr>
      <w:r w:rsidRPr="00D35321">
        <w:rPr>
          <w:rFonts w:ascii="Times New Roman" w:hAnsi="Times New Roman" w:cs="Times New Roman"/>
          <w:i/>
          <w:color w:val="000000"/>
          <w:sz w:val="20"/>
          <w:szCs w:val="20"/>
          <w:lang w:val="en-GB"/>
        </w:rPr>
        <w:t>Institutional ID code: FI 62576</w:t>
      </w:r>
    </w:p>
    <w:p w:rsidR="0070035F" w:rsidRDefault="0070035F" w:rsidP="0070035F">
      <w:pPr>
        <w:spacing w:line="300" w:lineRule="exact"/>
        <w:jc w:val="center"/>
        <w:outlineLvl w:val="1"/>
        <w:rPr>
          <w:rFonts w:eastAsiaTheme="minorHAnsi"/>
          <w:b/>
          <w:sz w:val="28"/>
          <w:szCs w:val="28"/>
        </w:rPr>
      </w:pPr>
    </w:p>
    <w:p w:rsidR="0070035F" w:rsidRPr="00D35321" w:rsidRDefault="0070035F" w:rsidP="0070035F">
      <w:pPr>
        <w:spacing w:line="300" w:lineRule="exact"/>
        <w:jc w:val="center"/>
        <w:outlineLvl w:val="1"/>
        <w:rPr>
          <w:rFonts w:eastAsiaTheme="minorHAnsi"/>
          <w:b/>
          <w:szCs w:val="22"/>
        </w:rPr>
      </w:pPr>
    </w:p>
    <w:p w:rsidR="0070035F" w:rsidRPr="00D35321" w:rsidRDefault="0070035F" w:rsidP="0070035F">
      <w:pPr>
        <w:pStyle w:val="Alcm"/>
        <w:spacing w:after="0"/>
        <w:rPr>
          <w:rFonts w:ascii="Times New Roman" w:hAnsi="Times New Roman" w:cs="Times New Roman"/>
          <w:b/>
          <w:color w:val="000000"/>
          <w:szCs w:val="22"/>
          <w:lang w:val="en-GB"/>
        </w:rPr>
      </w:pPr>
      <w:r w:rsidRPr="00D35321">
        <w:rPr>
          <w:rFonts w:ascii="Times New Roman" w:hAnsi="Times New Roman" w:cs="Times New Roman"/>
          <w:b/>
          <w:color w:val="000000"/>
          <w:szCs w:val="22"/>
          <w:lang w:val="en-GB"/>
        </w:rPr>
        <w:t>Financing Departmental Doctoral Schools</w:t>
      </w:r>
    </w:p>
    <w:p w:rsidR="0070035F" w:rsidRPr="00644703" w:rsidRDefault="0070035F" w:rsidP="0070035F">
      <w:pPr>
        <w:pStyle w:val="Alcm"/>
        <w:spacing w:after="0"/>
        <w:rPr>
          <w:rFonts w:ascii="Times New Roman" w:hAnsi="Times New Roman" w:cs="Times New Roman"/>
          <w:b/>
          <w:color w:val="000000"/>
          <w:sz w:val="18"/>
          <w:szCs w:val="18"/>
          <w:lang w:val="en-GB"/>
        </w:rPr>
      </w:pPr>
    </w:p>
    <w:p w:rsidR="0070035F" w:rsidRPr="00D35321" w:rsidRDefault="0070035F" w:rsidP="0070035F">
      <w:pPr>
        <w:pStyle w:val="Alcm"/>
        <w:spacing w:after="0"/>
        <w:jc w:val="left"/>
        <w:rPr>
          <w:rFonts w:ascii="Times New Roman" w:hAnsi="Times New Roman" w:cs="Times New Roman"/>
          <w:color w:val="000000"/>
          <w:sz w:val="20"/>
          <w:szCs w:val="20"/>
          <w:lang w:val="en-GB"/>
        </w:rPr>
      </w:pPr>
    </w:p>
    <w:p w:rsidR="0070035F" w:rsidRPr="00D35321" w:rsidRDefault="0070035F" w:rsidP="0070035F">
      <w:pPr>
        <w:pStyle w:val="Alcm"/>
        <w:jc w:val="left"/>
        <w:rPr>
          <w:rFonts w:ascii="Times New Roman" w:hAnsi="Times New Roman" w:cs="Times New Roman"/>
          <w:b/>
          <w:color w:val="000000"/>
          <w:sz w:val="20"/>
          <w:szCs w:val="20"/>
          <w:lang w:val="en-GB"/>
        </w:rPr>
      </w:pPr>
      <w:r w:rsidRPr="00D35321">
        <w:rPr>
          <w:rFonts w:ascii="Times New Roman" w:hAnsi="Times New Roman" w:cs="Times New Roman"/>
          <w:b/>
          <w:color w:val="000000"/>
          <w:sz w:val="20"/>
          <w:szCs w:val="20"/>
          <w:lang w:val="en-GB"/>
        </w:rPr>
        <w:t>I.</w:t>
      </w:r>
      <w:r>
        <w:rPr>
          <w:rFonts w:ascii="Times New Roman" w:hAnsi="Times New Roman" w:cs="Times New Roman"/>
          <w:b/>
          <w:color w:val="000000"/>
          <w:sz w:val="20"/>
          <w:szCs w:val="20"/>
          <w:lang w:val="en-GB"/>
        </w:rPr>
        <w:t xml:space="preserve"> </w:t>
      </w:r>
      <w:r w:rsidRPr="00D35321">
        <w:rPr>
          <w:rFonts w:ascii="Times New Roman" w:hAnsi="Times New Roman" w:cs="Times New Roman"/>
          <w:b/>
          <w:color w:val="000000"/>
          <w:sz w:val="20"/>
          <w:szCs w:val="20"/>
          <w:lang w:val="en-GB"/>
        </w:rPr>
        <w:t>Student research framework</w:t>
      </w:r>
    </w:p>
    <w:p w:rsidR="0070035F" w:rsidRPr="00D35321" w:rsidRDefault="0070035F" w:rsidP="0070035F">
      <w:pPr>
        <w:pStyle w:val="Alcm"/>
        <w:jc w:val="left"/>
        <w:rPr>
          <w:rFonts w:ascii="Times New Roman" w:hAnsi="Times New Roman" w:cs="Times New Roman"/>
          <w:color w:val="000000"/>
          <w:sz w:val="20"/>
          <w:szCs w:val="20"/>
          <w:lang w:val="en-GB"/>
        </w:rPr>
      </w:pPr>
    </w:p>
    <w:p w:rsidR="0070035F" w:rsidRPr="00D35321" w:rsidRDefault="0070035F" w:rsidP="0070035F">
      <w:pPr>
        <w:pStyle w:val="Alcm"/>
        <w:jc w:val="left"/>
        <w:rPr>
          <w:rFonts w:ascii="Times New Roman" w:hAnsi="Times New Roman" w:cs="Times New Roman"/>
          <w:color w:val="000000"/>
          <w:sz w:val="20"/>
          <w:szCs w:val="20"/>
          <w:lang w:val="en-GB"/>
        </w:rPr>
      </w:pPr>
      <w:r w:rsidRPr="00D35321">
        <w:rPr>
          <w:rFonts w:ascii="Times New Roman" w:hAnsi="Times New Roman" w:cs="Times New Roman"/>
          <w:color w:val="000000"/>
          <w:sz w:val="20"/>
          <w:szCs w:val="20"/>
          <w:lang w:val="en-GB"/>
        </w:rPr>
        <w:t xml:space="preserve">1) </w:t>
      </w:r>
      <w:r w:rsidRPr="00D35321">
        <w:rPr>
          <w:rFonts w:ascii="Times New Roman" w:hAnsi="Times New Roman" w:cs="Times New Roman"/>
          <w:i/>
          <w:color w:val="000000"/>
          <w:sz w:val="20"/>
          <w:szCs w:val="20"/>
          <w:lang w:val="en-GB"/>
        </w:rPr>
        <w:t>The reimbursement financial framework</w:t>
      </w:r>
      <w:r w:rsidRPr="00D35321">
        <w:rPr>
          <w:rFonts w:ascii="Times New Roman" w:hAnsi="Times New Roman" w:cs="Times New Roman"/>
          <w:color w:val="000000"/>
          <w:sz w:val="20"/>
          <w:szCs w:val="20"/>
          <w:lang w:val="en-GB"/>
        </w:rPr>
        <w:t xml:space="preserve"> is counted after each PhD student and it is for supporting the material expenses of PhD students’ work.</w:t>
      </w:r>
    </w:p>
    <w:p w:rsidR="0070035F" w:rsidRPr="00D35321" w:rsidRDefault="0070035F" w:rsidP="0070035F">
      <w:pPr>
        <w:pStyle w:val="Alcm"/>
        <w:jc w:val="left"/>
        <w:rPr>
          <w:rFonts w:ascii="Times New Roman" w:hAnsi="Times New Roman" w:cs="Times New Roman"/>
          <w:color w:val="000000"/>
          <w:sz w:val="20"/>
          <w:szCs w:val="20"/>
          <w:lang w:val="en-GB"/>
        </w:rPr>
      </w:pPr>
    </w:p>
    <w:p w:rsidR="0070035F" w:rsidRPr="0041644E" w:rsidRDefault="0070035F" w:rsidP="0070035F">
      <w:pPr>
        <w:rPr>
          <w:lang w:val="en-GB"/>
        </w:rPr>
      </w:pPr>
      <w:r w:rsidRPr="00D35321">
        <w:rPr>
          <w:color w:val="000000"/>
          <w:sz w:val="20"/>
          <w:szCs w:val="20"/>
          <w:lang w:val="en-GB"/>
        </w:rPr>
        <w:t>2)</w:t>
      </w:r>
      <w:r>
        <w:rPr>
          <w:color w:val="000000"/>
          <w:sz w:val="20"/>
          <w:szCs w:val="20"/>
          <w:lang w:val="en-GB"/>
        </w:rPr>
        <w:t xml:space="preserve"> </w:t>
      </w:r>
      <w:r w:rsidRPr="0041644E">
        <w:rPr>
          <w:lang w:val="en-GB"/>
        </w:rPr>
        <w:t xml:space="preserve">The financial research framework will be utilised in connection with the PhD research. Therefore, it will be opened at the PhD supervisor's workplace, unless the PhD supervisor's workplace is not at </w:t>
      </w:r>
      <w:proofErr w:type="spellStart"/>
      <w:r w:rsidRPr="0041644E">
        <w:rPr>
          <w:lang w:val="en-GB"/>
        </w:rPr>
        <w:t>Semmelweis</w:t>
      </w:r>
      <w:proofErr w:type="spellEnd"/>
      <w:r w:rsidRPr="0041644E">
        <w:rPr>
          <w:lang w:val="en-GB"/>
        </w:rPr>
        <w:t xml:space="preserve"> University. In this case, the financial research framework will be opened at the Doctoral Office and an invoice will be issued to </w:t>
      </w:r>
      <w:proofErr w:type="spellStart"/>
      <w:r w:rsidRPr="0041644E">
        <w:rPr>
          <w:lang w:val="en-GB"/>
        </w:rPr>
        <w:t>Semmelweis</w:t>
      </w:r>
      <w:proofErr w:type="spellEnd"/>
      <w:r w:rsidRPr="0041644E">
        <w:rPr>
          <w:lang w:val="en-GB"/>
        </w:rPr>
        <w:t xml:space="preserve"> University by the workplace of the PhD supervisor requesting for the amount of financial research support for PhD students.</w:t>
      </w:r>
    </w:p>
    <w:p w:rsidR="0070035F" w:rsidRPr="000556F2" w:rsidRDefault="0070035F" w:rsidP="0070035F">
      <w:pPr>
        <w:pStyle w:val="Alcm"/>
        <w:jc w:val="left"/>
        <w:rPr>
          <w:color w:val="000000"/>
          <w:sz w:val="20"/>
          <w:szCs w:val="20"/>
          <w:lang w:val="en-GB"/>
        </w:rPr>
      </w:pPr>
      <w:r w:rsidRPr="00D35321">
        <w:rPr>
          <w:rFonts w:ascii="Times New Roman" w:hAnsi="Times New Roman" w:cs="Times New Roman"/>
          <w:color w:val="000000"/>
          <w:sz w:val="20"/>
          <w:szCs w:val="20"/>
          <w:lang w:val="en-GB"/>
        </w:rPr>
        <w:t xml:space="preserve"> </w:t>
      </w:r>
    </w:p>
    <w:p w:rsidR="0070035F" w:rsidRPr="0041644E" w:rsidRDefault="0070035F" w:rsidP="0070035F">
      <w:pPr>
        <w:rPr>
          <w:sz w:val="24"/>
          <w:lang w:val="en-GB"/>
        </w:rPr>
      </w:pPr>
      <w:r w:rsidRPr="0041644E">
        <w:rPr>
          <w:sz w:val="24"/>
          <w:lang w:val="en-GB"/>
        </w:rPr>
        <w:t xml:space="preserve">3) The invoice must </w:t>
      </w:r>
      <w:r>
        <w:rPr>
          <w:sz w:val="24"/>
          <w:lang w:val="en-GB"/>
        </w:rPr>
        <w:t>be labelled as “I</w:t>
      </w:r>
      <w:r w:rsidRPr="0041644E">
        <w:rPr>
          <w:sz w:val="24"/>
          <w:lang w:val="en-GB"/>
        </w:rPr>
        <w:t xml:space="preserve">nvoice for the coverage of the </w:t>
      </w:r>
      <w:r>
        <w:rPr>
          <w:sz w:val="24"/>
          <w:lang w:val="en-GB"/>
        </w:rPr>
        <w:t>research costs of</w:t>
      </w:r>
      <w:r w:rsidRPr="0041644E">
        <w:rPr>
          <w:sz w:val="24"/>
          <w:lang w:val="en-GB"/>
        </w:rPr>
        <w:t xml:space="preserve"> PhD students”.</w:t>
      </w:r>
    </w:p>
    <w:p w:rsidR="0070035F" w:rsidRPr="0041644E" w:rsidRDefault="0070035F" w:rsidP="0070035F">
      <w:pPr>
        <w:rPr>
          <w:sz w:val="24"/>
          <w:lang w:val="en-GB"/>
        </w:rPr>
      </w:pPr>
      <w:r w:rsidRPr="0041644E">
        <w:rPr>
          <w:sz w:val="24"/>
          <w:lang w:val="en-GB"/>
        </w:rPr>
        <w:t xml:space="preserve">4) The invoice must include the amount of </w:t>
      </w:r>
      <w:r>
        <w:rPr>
          <w:sz w:val="24"/>
          <w:lang w:val="en-GB"/>
        </w:rPr>
        <w:t xml:space="preserve">financial </w:t>
      </w:r>
      <w:r w:rsidRPr="0041644E">
        <w:rPr>
          <w:sz w:val="24"/>
          <w:lang w:val="en-GB"/>
        </w:rPr>
        <w:t xml:space="preserve">research support for PhD students </w:t>
      </w:r>
      <w:r>
        <w:rPr>
          <w:sz w:val="24"/>
          <w:lang w:val="en-GB"/>
        </w:rPr>
        <w:t>issued</w:t>
      </w:r>
      <w:r w:rsidRPr="0041644E">
        <w:rPr>
          <w:sz w:val="24"/>
          <w:lang w:val="en-GB"/>
        </w:rPr>
        <w:t xml:space="preserve"> </w:t>
      </w:r>
      <w:r>
        <w:rPr>
          <w:sz w:val="24"/>
          <w:lang w:val="en-GB"/>
        </w:rPr>
        <w:t xml:space="preserve">each </w:t>
      </w:r>
      <w:r w:rsidRPr="0041644E">
        <w:rPr>
          <w:sz w:val="24"/>
          <w:lang w:val="en-GB"/>
        </w:rPr>
        <w:t>semester.</w:t>
      </w:r>
    </w:p>
    <w:p w:rsidR="0070035F" w:rsidRPr="0041644E" w:rsidRDefault="0070035F" w:rsidP="0070035F">
      <w:pPr>
        <w:rPr>
          <w:sz w:val="24"/>
          <w:lang w:val="en-GB"/>
        </w:rPr>
      </w:pPr>
      <w:r w:rsidRPr="0041644E">
        <w:rPr>
          <w:sz w:val="24"/>
          <w:lang w:val="en-GB"/>
        </w:rPr>
        <w:t xml:space="preserve">5) The Doctoral Office will </w:t>
      </w:r>
      <w:r>
        <w:rPr>
          <w:sz w:val="24"/>
          <w:lang w:val="en-GB"/>
        </w:rPr>
        <w:t>assure</w:t>
      </w:r>
      <w:r w:rsidRPr="0041644E">
        <w:rPr>
          <w:sz w:val="24"/>
          <w:lang w:val="en-GB"/>
        </w:rPr>
        <w:t xml:space="preserve"> the opening of the </w:t>
      </w:r>
      <w:r>
        <w:rPr>
          <w:sz w:val="24"/>
          <w:lang w:val="en-GB"/>
        </w:rPr>
        <w:t xml:space="preserve">financial </w:t>
      </w:r>
      <w:r w:rsidRPr="0041644E">
        <w:rPr>
          <w:sz w:val="24"/>
          <w:lang w:val="en-GB"/>
        </w:rPr>
        <w:t>research framework by 15 October in the autumn semester, preferably by 15 March in the spring semester, but no later than 10 days after the adoption of the institutional budget.</w:t>
      </w:r>
    </w:p>
    <w:p w:rsidR="0070035F" w:rsidRPr="00D35321" w:rsidRDefault="0070035F" w:rsidP="0070035F">
      <w:pPr>
        <w:pStyle w:val="Alcm"/>
        <w:spacing w:after="0"/>
        <w:jc w:val="left"/>
        <w:rPr>
          <w:rFonts w:ascii="Times New Roman" w:hAnsi="Times New Roman" w:cs="Times New Roman"/>
          <w:color w:val="000000"/>
          <w:sz w:val="20"/>
          <w:szCs w:val="20"/>
          <w:lang w:val="en-GB"/>
        </w:rPr>
      </w:pPr>
    </w:p>
    <w:p w:rsidR="0070035F" w:rsidRPr="00D35321" w:rsidRDefault="0070035F" w:rsidP="0070035F">
      <w:pPr>
        <w:pStyle w:val="Alcm"/>
        <w:spacing w:after="0"/>
        <w:jc w:val="left"/>
        <w:rPr>
          <w:rFonts w:ascii="Times New Roman" w:hAnsi="Times New Roman" w:cs="Times New Roman"/>
          <w:color w:val="000000"/>
          <w:sz w:val="20"/>
          <w:szCs w:val="20"/>
          <w:lang w:val="en-GB"/>
        </w:rPr>
      </w:pPr>
    </w:p>
    <w:p w:rsidR="0070035F" w:rsidRPr="00D35321" w:rsidRDefault="0070035F" w:rsidP="0070035F">
      <w:pPr>
        <w:pStyle w:val="Alcm"/>
        <w:spacing w:after="0"/>
        <w:jc w:val="left"/>
        <w:rPr>
          <w:rFonts w:ascii="Times New Roman" w:hAnsi="Times New Roman" w:cs="Times New Roman"/>
          <w:color w:val="000000"/>
          <w:sz w:val="20"/>
          <w:szCs w:val="20"/>
          <w:lang w:val="en-GB"/>
        </w:rPr>
      </w:pPr>
    </w:p>
    <w:p w:rsidR="0070035F" w:rsidRPr="00D35321" w:rsidRDefault="0070035F" w:rsidP="0070035F">
      <w:pPr>
        <w:pStyle w:val="Alcm"/>
        <w:jc w:val="left"/>
        <w:rPr>
          <w:rFonts w:ascii="Times New Roman" w:hAnsi="Times New Roman" w:cs="Times New Roman"/>
          <w:b/>
          <w:color w:val="000000"/>
          <w:sz w:val="20"/>
          <w:szCs w:val="20"/>
          <w:lang w:val="en-GB"/>
        </w:rPr>
      </w:pPr>
      <w:proofErr w:type="spellStart"/>
      <w:r w:rsidRPr="00D35321">
        <w:rPr>
          <w:rFonts w:ascii="Times New Roman" w:hAnsi="Times New Roman" w:cs="Times New Roman"/>
          <w:b/>
          <w:color w:val="000000"/>
          <w:sz w:val="20"/>
          <w:szCs w:val="20"/>
          <w:lang w:val="en-GB"/>
        </w:rPr>
        <w:t>II.Other</w:t>
      </w:r>
      <w:proofErr w:type="spellEnd"/>
      <w:r w:rsidRPr="00D35321">
        <w:rPr>
          <w:rFonts w:ascii="Times New Roman" w:hAnsi="Times New Roman" w:cs="Times New Roman"/>
          <w:b/>
          <w:color w:val="000000"/>
          <w:sz w:val="20"/>
          <w:szCs w:val="20"/>
          <w:lang w:val="en-GB"/>
        </w:rPr>
        <w:t xml:space="preserve"> specifications:</w:t>
      </w:r>
    </w:p>
    <w:p w:rsidR="0070035F" w:rsidRPr="00D35321" w:rsidRDefault="0070035F" w:rsidP="0070035F">
      <w:pPr>
        <w:pStyle w:val="Alcm"/>
        <w:jc w:val="left"/>
        <w:rPr>
          <w:rFonts w:ascii="Times New Roman" w:hAnsi="Times New Roman" w:cs="Times New Roman"/>
          <w:color w:val="000000"/>
          <w:sz w:val="20"/>
          <w:szCs w:val="20"/>
          <w:lang w:val="en-GB"/>
        </w:rPr>
      </w:pPr>
      <w:r w:rsidRPr="00D35321">
        <w:rPr>
          <w:rFonts w:ascii="Times New Roman" w:hAnsi="Times New Roman" w:cs="Times New Roman"/>
          <w:color w:val="000000"/>
          <w:sz w:val="20"/>
          <w:szCs w:val="20"/>
          <w:lang w:val="en-GB"/>
        </w:rPr>
        <w:t xml:space="preserve">1) Utilization of own revenue (student payments, </w:t>
      </w:r>
      <w:proofErr w:type="spellStart"/>
      <w:r w:rsidRPr="00D35321">
        <w:rPr>
          <w:rFonts w:ascii="Times New Roman" w:hAnsi="Times New Roman" w:cs="Times New Roman"/>
          <w:color w:val="000000"/>
          <w:sz w:val="20"/>
          <w:szCs w:val="20"/>
          <w:lang w:val="en-GB"/>
        </w:rPr>
        <w:t>eg</w:t>
      </w:r>
      <w:proofErr w:type="spellEnd"/>
      <w:r w:rsidRPr="00D35321">
        <w:rPr>
          <w:rFonts w:ascii="Times New Roman" w:hAnsi="Times New Roman" w:cs="Times New Roman"/>
          <w:color w:val="000000"/>
          <w:sz w:val="20"/>
          <w:szCs w:val="20"/>
          <w:lang w:val="en-GB"/>
        </w:rPr>
        <w:t xml:space="preserve"> application fee, tuition fee): this financial framework is used to support travel applications and courses, reward students, </w:t>
      </w:r>
      <w:r w:rsidRPr="00D35321">
        <w:rPr>
          <w:rFonts w:ascii="Times New Roman" w:hAnsi="Times New Roman" w:cs="Times New Roman"/>
          <w:color w:val="FF0000"/>
          <w:sz w:val="20"/>
          <w:szCs w:val="20"/>
          <w:lang w:val="en-GB"/>
        </w:rPr>
        <w:t>coordinate Departmental Doctoral Schools</w:t>
      </w:r>
      <w:r w:rsidRPr="00D35321">
        <w:rPr>
          <w:rFonts w:ascii="Times New Roman" w:hAnsi="Times New Roman" w:cs="Times New Roman"/>
          <w:color w:val="000000"/>
          <w:sz w:val="20"/>
          <w:szCs w:val="20"/>
          <w:lang w:val="en-GB"/>
        </w:rPr>
        <w:t>, manage Doctoral Office, cover website management, support conferences, etc.</w:t>
      </w:r>
    </w:p>
    <w:p w:rsidR="0070035F" w:rsidRPr="00D35321" w:rsidRDefault="0070035F" w:rsidP="0070035F">
      <w:pPr>
        <w:pStyle w:val="Alcm"/>
        <w:jc w:val="left"/>
        <w:rPr>
          <w:rFonts w:ascii="Times New Roman" w:hAnsi="Times New Roman" w:cs="Times New Roman"/>
          <w:color w:val="000000"/>
          <w:sz w:val="20"/>
          <w:szCs w:val="20"/>
          <w:lang w:val="en-GB"/>
        </w:rPr>
      </w:pPr>
    </w:p>
    <w:p w:rsidR="0070035F" w:rsidRPr="00D35321" w:rsidRDefault="0070035F" w:rsidP="0070035F">
      <w:pPr>
        <w:pStyle w:val="Alcm"/>
        <w:jc w:val="left"/>
        <w:rPr>
          <w:rFonts w:ascii="Times New Roman" w:hAnsi="Times New Roman" w:cs="Times New Roman"/>
          <w:color w:val="000000"/>
          <w:sz w:val="20"/>
          <w:szCs w:val="20"/>
          <w:lang w:val="en-GB"/>
        </w:rPr>
      </w:pPr>
      <w:r w:rsidRPr="00D35321">
        <w:rPr>
          <w:rFonts w:ascii="Times New Roman" w:hAnsi="Times New Roman" w:cs="Times New Roman"/>
          <w:color w:val="000000"/>
          <w:sz w:val="20"/>
          <w:szCs w:val="20"/>
          <w:lang w:val="en-GB"/>
        </w:rPr>
        <w:t>2) The student grants and administrative budget cannot be carried forward to the following year, it must be used until 31 December of the current year, and in the SAP system they must be tied to orders respectively.</w:t>
      </w:r>
    </w:p>
    <w:p w:rsidR="0070035F" w:rsidRPr="00D35321" w:rsidRDefault="0070035F" w:rsidP="0070035F">
      <w:pPr>
        <w:pStyle w:val="Alcm"/>
        <w:jc w:val="left"/>
        <w:rPr>
          <w:rFonts w:ascii="Times New Roman" w:hAnsi="Times New Roman" w:cs="Times New Roman"/>
          <w:color w:val="000000"/>
          <w:sz w:val="20"/>
          <w:szCs w:val="20"/>
          <w:lang w:val="en-GB"/>
        </w:rPr>
      </w:pPr>
    </w:p>
    <w:p w:rsidR="0070035F" w:rsidRPr="00D35321" w:rsidRDefault="0070035F" w:rsidP="0070035F">
      <w:pPr>
        <w:pStyle w:val="Alcm"/>
        <w:jc w:val="left"/>
        <w:rPr>
          <w:rFonts w:ascii="Times New Roman" w:hAnsi="Times New Roman" w:cs="Times New Roman"/>
          <w:color w:val="000000"/>
          <w:sz w:val="20"/>
          <w:szCs w:val="20"/>
          <w:lang w:val="en-GB"/>
        </w:rPr>
      </w:pPr>
      <w:r w:rsidRPr="00D35321">
        <w:rPr>
          <w:rFonts w:ascii="Times New Roman" w:hAnsi="Times New Roman" w:cs="Times New Roman"/>
          <w:color w:val="000000"/>
          <w:sz w:val="20"/>
          <w:szCs w:val="20"/>
          <w:lang w:val="en-GB"/>
        </w:rPr>
        <w:t xml:space="preserve">3) For PhD students with </w:t>
      </w:r>
      <w:r w:rsidRPr="00D35321">
        <w:rPr>
          <w:rFonts w:ascii="Times New Roman" w:hAnsi="Times New Roman" w:cs="Times New Roman"/>
          <w:sz w:val="20"/>
          <w:szCs w:val="20"/>
          <w:lang w:val="en-GB"/>
        </w:rPr>
        <w:t>certificate of completion (</w:t>
      </w:r>
      <w:proofErr w:type="spellStart"/>
      <w:r w:rsidRPr="00D35321">
        <w:rPr>
          <w:rFonts w:ascii="Times New Roman" w:hAnsi="Times New Roman" w:cs="Times New Roman"/>
          <w:color w:val="000000"/>
          <w:sz w:val="20"/>
          <w:szCs w:val="20"/>
          <w:lang w:val="en-GB"/>
        </w:rPr>
        <w:t>absolutorium</w:t>
      </w:r>
      <w:proofErr w:type="spellEnd"/>
      <w:r w:rsidRPr="00D35321">
        <w:rPr>
          <w:rFonts w:ascii="Times New Roman" w:hAnsi="Times New Roman" w:cs="Times New Roman"/>
          <w:color w:val="000000"/>
          <w:sz w:val="20"/>
          <w:szCs w:val="20"/>
          <w:lang w:val="en-GB"/>
        </w:rPr>
        <w:t>) a pre-doctoral scholarship may be awarded for a period of 12 months.</w:t>
      </w:r>
    </w:p>
    <w:p w:rsidR="0070035F" w:rsidRPr="00D35321" w:rsidRDefault="0070035F" w:rsidP="0070035F">
      <w:pPr>
        <w:pStyle w:val="Alcm"/>
        <w:jc w:val="left"/>
        <w:rPr>
          <w:rFonts w:ascii="Times New Roman" w:hAnsi="Times New Roman" w:cs="Times New Roman"/>
          <w:color w:val="000000"/>
          <w:sz w:val="20"/>
          <w:szCs w:val="20"/>
          <w:lang w:val="en-GB"/>
        </w:rPr>
      </w:pPr>
    </w:p>
    <w:p w:rsidR="0070035F" w:rsidRPr="00D35321" w:rsidRDefault="0070035F" w:rsidP="0070035F">
      <w:pPr>
        <w:pStyle w:val="Alcm"/>
        <w:jc w:val="left"/>
        <w:rPr>
          <w:rFonts w:ascii="Times New Roman" w:hAnsi="Times New Roman" w:cs="Times New Roman"/>
          <w:color w:val="000000"/>
          <w:sz w:val="20"/>
          <w:szCs w:val="20"/>
          <w:lang w:val="en-GB"/>
        </w:rPr>
      </w:pPr>
      <w:r w:rsidRPr="00D35321">
        <w:rPr>
          <w:rFonts w:ascii="Times New Roman" w:hAnsi="Times New Roman" w:cs="Times New Roman"/>
          <w:color w:val="000000"/>
          <w:sz w:val="20"/>
          <w:szCs w:val="20"/>
          <w:lang w:val="en-GB"/>
        </w:rPr>
        <w:t xml:space="preserve">4) The application fee as a procedural fee will not be refunded in case of unsuccessful admission! If the PhD student does not </w:t>
      </w:r>
      <w:proofErr w:type="spellStart"/>
      <w:r w:rsidRPr="00D35321">
        <w:rPr>
          <w:rFonts w:ascii="Times New Roman" w:hAnsi="Times New Roman" w:cs="Times New Roman"/>
          <w:color w:val="000000"/>
          <w:sz w:val="20"/>
          <w:szCs w:val="20"/>
          <w:lang w:val="en-GB"/>
        </w:rPr>
        <w:t>enroll</w:t>
      </w:r>
      <w:proofErr w:type="spellEnd"/>
      <w:r w:rsidRPr="00D35321">
        <w:rPr>
          <w:rFonts w:ascii="Times New Roman" w:hAnsi="Times New Roman" w:cs="Times New Roman"/>
          <w:color w:val="000000"/>
          <w:sz w:val="20"/>
          <w:szCs w:val="20"/>
          <w:lang w:val="en-GB"/>
        </w:rPr>
        <w:t xml:space="preserve"> /register for a </w:t>
      </w:r>
      <w:proofErr w:type="gramStart"/>
      <w:r w:rsidRPr="00D35321">
        <w:rPr>
          <w:rFonts w:ascii="Times New Roman" w:hAnsi="Times New Roman" w:cs="Times New Roman"/>
          <w:color w:val="000000"/>
          <w:sz w:val="20"/>
          <w:szCs w:val="20"/>
          <w:lang w:val="en-GB"/>
        </w:rPr>
        <w:t>semester</w:t>
      </w:r>
      <w:proofErr w:type="gramEnd"/>
      <w:r w:rsidRPr="00D35321">
        <w:rPr>
          <w:rFonts w:ascii="Times New Roman" w:hAnsi="Times New Roman" w:cs="Times New Roman"/>
          <w:color w:val="000000"/>
          <w:sz w:val="20"/>
          <w:szCs w:val="20"/>
          <w:lang w:val="en-GB"/>
        </w:rPr>
        <w:t xml:space="preserve"> then tuition fees are non-refundable but will be credited for the following active semester. If the PhD student does not wish to register for further semesters, on his/her written request submitted to the Doctoral Office we will return the tuition fee to the designated current account.</w:t>
      </w:r>
    </w:p>
    <w:p w:rsidR="0070035F" w:rsidRPr="00D35321" w:rsidRDefault="0070035F" w:rsidP="0070035F">
      <w:pPr>
        <w:pStyle w:val="Alcm"/>
        <w:spacing w:after="0"/>
        <w:jc w:val="left"/>
        <w:rPr>
          <w:rFonts w:ascii="Times New Roman" w:hAnsi="Times New Roman" w:cs="Times New Roman"/>
          <w:color w:val="000000"/>
          <w:sz w:val="20"/>
          <w:szCs w:val="20"/>
          <w:lang w:val="en-GB"/>
        </w:rPr>
      </w:pPr>
    </w:p>
    <w:p w:rsidR="0070035F" w:rsidRPr="00D35321" w:rsidRDefault="0070035F" w:rsidP="0070035F">
      <w:pPr>
        <w:pStyle w:val="Alcm"/>
        <w:spacing w:after="0"/>
        <w:jc w:val="left"/>
        <w:rPr>
          <w:rFonts w:ascii="Times New Roman" w:hAnsi="Times New Roman" w:cs="Times New Roman"/>
          <w:color w:val="000000"/>
          <w:sz w:val="20"/>
          <w:szCs w:val="20"/>
          <w:lang w:val="en-GB"/>
        </w:rPr>
      </w:pPr>
    </w:p>
    <w:p w:rsidR="0070035F" w:rsidRPr="00D35321" w:rsidRDefault="0070035F" w:rsidP="0070035F">
      <w:pPr>
        <w:rPr>
          <w:b/>
          <w:sz w:val="20"/>
          <w:szCs w:val="20"/>
          <w:lang w:val="en-GB"/>
        </w:rPr>
      </w:pPr>
    </w:p>
    <w:p w:rsidR="00726C9A" w:rsidRDefault="00726C9A"/>
    <w:sectPr w:rsidR="00726C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5F"/>
    <w:rsid w:val="0070035F"/>
    <w:rsid w:val="00726C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CFE3E-6E4F-47C7-9503-B6A46A2C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0035F"/>
    <w:pPr>
      <w:spacing w:after="0" w:line="240" w:lineRule="auto"/>
      <w:jc w:val="both"/>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link w:val="AlcmChar"/>
    <w:qFormat/>
    <w:rsid w:val="0070035F"/>
    <w:pPr>
      <w:spacing w:after="60"/>
      <w:jc w:val="center"/>
      <w:outlineLvl w:val="1"/>
    </w:pPr>
    <w:rPr>
      <w:rFonts w:ascii="Arial" w:hAnsi="Arial" w:cs="Arial"/>
    </w:rPr>
  </w:style>
  <w:style w:type="character" w:customStyle="1" w:styleId="AlcmChar">
    <w:name w:val="Alcím Char"/>
    <w:basedOn w:val="Bekezdsalapbettpusa"/>
    <w:link w:val="Alcm"/>
    <w:rsid w:val="0070035F"/>
    <w:rPr>
      <w:rFonts w:ascii="Arial" w:eastAsia="Times New Roman" w:hAnsi="Arial" w:cs="Arial"/>
      <w:szCs w:val="24"/>
      <w:lang w:eastAsia="hu-HU"/>
    </w:rPr>
  </w:style>
  <w:style w:type="paragraph" w:styleId="Cm">
    <w:name w:val="Title"/>
    <w:basedOn w:val="Norml"/>
    <w:next w:val="Norml"/>
    <w:link w:val="CmChar"/>
    <w:qFormat/>
    <w:rsid w:val="0070035F"/>
    <w:pPr>
      <w:spacing w:before="240" w:after="60"/>
      <w:jc w:val="center"/>
      <w:outlineLvl w:val="0"/>
    </w:pPr>
    <w:rPr>
      <w:rFonts w:ascii="Cambria" w:hAnsi="Cambria"/>
      <w:b/>
      <w:bCs/>
      <w:kern w:val="28"/>
      <w:sz w:val="32"/>
      <w:szCs w:val="32"/>
    </w:rPr>
  </w:style>
  <w:style w:type="character" w:customStyle="1" w:styleId="CmChar">
    <w:name w:val="Cím Char"/>
    <w:basedOn w:val="Bekezdsalapbettpusa"/>
    <w:link w:val="Cm"/>
    <w:rsid w:val="0070035F"/>
    <w:rPr>
      <w:rFonts w:ascii="Cambria" w:eastAsia="Times New Roman" w:hAnsi="Cambria" w:cs="Times New Roman"/>
      <w:b/>
      <w:bCs/>
      <w:kern w:val="28"/>
      <w:sz w:val="32"/>
      <w:szCs w:val="32"/>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2058</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HP Inc.</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Kovácsné Ollé Tímea</dc:creator>
  <cp:keywords/>
  <dc:description/>
  <cp:lastModifiedBy>Kovácsné Ollé Tímea</cp:lastModifiedBy>
  <cp:revision>1</cp:revision>
  <dcterms:created xsi:type="dcterms:W3CDTF">2022-03-26T10:35:00Z</dcterms:created>
  <dcterms:modified xsi:type="dcterms:W3CDTF">2022-03-26T10:36:00Z</dcterms:modified>
</cp:coreProperties>
</file>