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D4" w:rsidRPr="004B2B6E" w:rsidRDefault="001075D4" w:rsidP="001075D4">
      <w:pPr>
        <w:spacing w:line="300" w:lineRule="exact"/>
        <w:jc w:val="center"/>
        <w:outlineLvl w:val="1"/>
        <w:rPr>
          <w:rFonts w:eastAsiaTheme="minorHAnsi"/>
          <w:b/>
          <w:sz w:val="28"/>
          <w:szCs w:val="28"/>
        </w:rPr>
      </w:pPr>
      <w:bookmarkStart w:id="0" w:name="_Toc51671344"/>
      <w:r>
        <w:rPr>
          <w:rFonts w:eastAsiaTheme="minorHAnsi"/>
          <w:b/>
          <w:sz w:val="28"/>
          <w:szCs w:val="28"/>
        </w:rPr>
        <w:t>III.3</w:t>
      </w:r>
      <w:r w:rsidRPr="004B2B6E">
        <w:rPr>
          <w:rFonts w:eastAsiaTheme="minorHAnsi"/>
          <w:b/>
          <w:sz w:val="28"/>
          <w:szCs w:val="28"/>
        </w:rPr>
        <w:t>.</w:t>
      </w:r>
      <w:r w:rsidRPr="004B2B6E" w:rsidDel="00B20A29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- 7.</w:t>
      </w:r>
      <w:r w:rsidRPr="004B2B6E">
        <w:rPr>
          <w:rFonts w:eastAsiaTheme="minorHAnsi"/>
          <w:b/>
          <w:sz w:val="28"/>
          <w:szCs w:val="28"/>
        </w:rPr>
        <w:t xml:space="preserve"> melléklet</w:t>
      </w:r>
      <w:r>
        <w:rPr>
          <w:rStyle w:val="Lbjegyzet-hivatkozs"/>
          <w:rFonts w:eastAsiaTheme="minorHAnsi"/>
          <w:b/>
          <w:sz w:val="28"/>
          <w:szCs w:val="28"/>
        </w:rPr>
        <w:footnoteReference w:id="1"/>
      </w:r>
      <w:bookmarkEnd w:id="0"/>
    </w:p>
    <w:p w:rsidR="001075D4" w:rsidRDefault="001075D4" w:rsidP="001075D4">
      <w:pPr>
        <w:jc w:val="right"/>
      </w:pPr>
    </w:p>
    <w:p w:rsidR="001075D4" w:rsidRDefault="001075D4" w:rsidP="001075D4">
      <w:pPr>
        <w:jc w:val="right"/>
      </w:pPr>
      <w:r>
        <w:t>Semmelweis Egyetem</w:t>
      </w:r>
    </w:p>
    <w:p w:rsidR="001075D4" w:rsidRPr="00976C51" w:rsidRDefault="001075D4" w:rsidP="001075D4">
      <w:pPr>
        <w:jc w:val="right"/>
      </w:pPr>
      <w:r w:rsidRPr="00E12EA5">
        <w:rPr>
          <w:i/>
        </w:rPr>
        <w:t>Intézményi azonosító: FI 62576</w:t>
      </w:r>
    </w:p>
    <w:p w:rsidR="001075D4" w:rsidRDefault="001075D4" w:rsidP="001075D4">
      <w:pPr>
        <w:widowControl w:val="0"/>
        <w:tabs>
          <w:tab w:val="left" w:pos="720"/>
        </w:tabs>
        <w:suppressAutoHyphens/>
        <w:spacing w:line="100" w:lineRule="atLeast"/>
        <w:jc w:val="left"/>
        <w:rPr>
          <w:szCs w:val="22"/>
        </w:rPr>
      </w:pPr>
    </w:p>
    <w:p w:rsidR="001075D4" w:rsidRPr="00E12EA5" w:rsidRDefault="001075D4" w:rsidP="001075D4">
      <w:pPr>
        <w:spacing w:after="60"/>
        <w:jc w:val="center"/>
        <w:rPr>
          <w:b/>
          <w:szCs w:val="22"/>
        </w:rPr>
      </w:pPr>
      <w:r w:rsidRPr="00E12EA5">
        <w:rPr>
          <w:b/>
          <w:szCs w:val="22"/>
        </w:rPr>
        <w:t>Doktori (PhD) fokozatszerzési követelmények tudományszakonként</w:t>
      </w:r>
    </w:p>
    <w:p w:rsidR="001075D4" w:rsidRPr="00E12EA5" w:rsidRDefault="001075D4" w:rsidP="001075D4">
      <w:pPr>
        <w:suppressLineNumbers/>
        <w:rPr>
          <w:b/>
          <w:szCs w:val="22"/>
        </w:rPr>
      </w:pPr>
    </w:p>
    <w:p w:rsidR="001075D4" w:rsidRPr="00E12EA5" w:rsidRDefault="001075D4" w:rsidP="001075D4">
      <w:pPr>
        <w:suppressLineNumbers/>
        <w:rPr>
          <w:szCs w:val="22"/>
        </w:rPr>
      </w:pPr>
      <w:r w:rsidRPr="00E12EA5">
        <w:rPr>
          <w:szCs w:val="22"/>
        </w:rPr>
        <w:t xml:space="preserve">A doktori képzésben részt vett hallgatók számára az </w:t>
      </w:r>
      <w:proofErr w:type="spellStart"/>
      <w:r w:rsidRPr="00E12EA5">
        <w:rPr>
          <w:szCs w:val="22"/>
        </w:rPr>
        <w:t>impakt</w:t>
      </w:r>
      <w:proofErr w:type="spellEnd"/>
      <w:r w:rsidRPr="00E12EA5">
        <w:rPr>
          <w:szCs w:val="22"/>
        </w:rPr>
        <w:t xml:space="preserve"> </w:t>
      </w:r>
      <w:proofErr w:type="gramStart"/>
      <w:r w:rsidRPr="00E12EA5">
        <w:rPr>
          <w:szCs w:val="22"/>
        </w:rPr>
        <w:t>faktor</w:t>
      </w:r>
      <w:proofErr w:type="gramEnd"/>
      <w:r w:rsidRPr="00E12EA5">
        <w:rPr>
          <w:szCs w:val="22"/>
        </w:rPr>
        <w:t xml:space="preserve"> összeg (</w:t>
      </w:r>
      <w:r>
        <w:rPr>
          <w:szCs w:val="22"/>
        </w:rPr>
        <w:t>Σ</w:t>
      </w:r>
      <w:r w:rsidRPr="00E12EA5">
        <w:rPr>
          <w:szCs w:val="22"/>
        </w:rPr>
        <w:t>IF) minimuma:</w:t>
      </w: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73"/>
        <w:gridCol w:w="843"/>
        <w:gridCol w:w="279"/>
        <w:gridCol w:w="3892"/>
        <w:gridCol w:w="871"/>
      </w:tblGrid>
      <w:tr w:rsidR="001075D4" w:rsidRPr="00E12EA5" w:rsidTr="001E747F"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  <w:r w:rsidRPr="00E12EA5">
              <w:rPr>
                <w:szCs w:val="22"/>
              </w:rPr>
              <w:t>Tudományszak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  <w:r w:rsidRPr="00E12EA5">
              <w:rPr>
                <w:szCs w:val="22"/>
              </w:rPr>
              <w:t>(</w:t>
            </w:r>
            <w:r>
              <w:rPr>
                <w:szCs w:val="22"/>
              </w:rPr>
              <w:t>Σ</w:t>
            </w:r>
            <w:r w:rsidRPr="00E12EA5">
              <w:rPr>
                <w:szCs w:val="22"/>
              </w:rPr>
              <w:t>IF)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  <w:r w:rsidRPr="00E12EA5">
              <w:rPr>
                <w:szCs w:val="22"/>
              </w:rPr>
              <w:t>Tudományszak</w:t>
            </w:r>
          </w:p>
        </w:tc>
        <w:tc>
          <w:tcPr>
            <w:tcW w:w="879" w:type="dxa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  <w:r w:rsidRPr="00E12EA5">
              <w:rPr>
                <w:szCs w:val="22"/>
              </w:rPr>
              <w:t>(</w:t>
            </w:r>
            <w:r>
              <w:rPr>
                <w:szCs w:val="22"/>
              </w:rPr>
              <w:t>Σ</w:t>
            </w:r>
            <w:r w:rsidRPr="00E12EA5">
              <w:rPr>
                <w:szCs w:val="22"/>
              </w:rPr>
              <w:t>IF)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DFDFD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Klinikai tudományszakok</w:t>
            </w:r>
            <w:r w:rsidRPr="00E12EA5">
              <w:rPr>
                <w:szCs w:val="22"/>
              </w:rPr>
              <w:br/>
              <w:t>(kivéve az alábbiakat)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DFDFD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 xml:space="preserve">Elméleti tudományszakok </w:t>
            </w:r>
            <w:r w:rsidRPr="00E12EA5">
              <w:rPr>
                <w:szCs w:val="22"/>
              </w:rPr>
              <w:br/>
              <w:t>(kivéve az alábbiakat)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DFDFD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3,5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spellStart"/>
            <w:r w:rsidRPr="00E12EA5">
              <w:rPr>
                <w:szCs w:val="22"/>
              </w:rPr>
              <w:t>Andrológia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spellStart"/>
            <w:r w:rsidRPr="00E12EA5">
              <w:rPr>
                <w:szCs w:val="22"/>
              </w:rPr>
              <w:t>Farmakognózia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gramStart"/>
            <w:r w:rsidRPr="00E12EA5">
              <w:rPr>
                <w:szCs w:val="22"/>
              </w:rPr>
              <w:t>Dermatológia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Gyógyszeranalízis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Gerontológia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Gyógyszertechnológia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spellStart"/>
            <w:r w:rsidRPr="00E12EA5">
              <w:rPr>
                <w:szCs w:val="22"/>
              </w:rPr>
              <w:t>Oxyológia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 xml:space="preserve">Parazitológia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 xml:space="preserve">Klinikai </w:t>
            </w:r>
            <w:proofErr w:type="gramStart"/>
            <w:r w:rsidRPr="00E12EA5">
              <w:rPr>
                <w:szCs w:val="22"/>
              </w:rPr>
              <w:t>farmakológia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Megelőző orvostan, népegészségügy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Reumatológia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Szerves szintetikus- és gyógyszerkémia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2,0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  <w:r>
              <w:rPr>
                <w:b/>
              </w:rPr>
              <w:t>Igazságügyi orvostan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  <w:r>
              <w:rPr>
                <w:b/>
              </w:rPr>
              <w:t xml:space="preserve">   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Gyógyszerügyi szervezés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Szemészet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gramStart"/>
            <w:r>
              <w:rPr>
                <w:szCs w:val="22"/>
              </w:rPr>
              <w:t>Mentális</w:t>
            </w:r>
            <w:proofErr w:type="gramEnd"/>
            <w:r>
              <w:rPr>
                <w:szCs w:val="22"/>
              </w:rPr>
              <w:t xml:space="preserve"> e</w:t>
            </w:r>
            <w:r w:rsidRPr="00E12EA5">
              <w:rPr>
                <w:szCs w:val="22"/>
              </w:rPr>
              <w:t>gészségtudományok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1,5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Default="001075D4" w:rsidP="001E747F">
            <w:pPr>
              <w:suppressLineNumbers/>
              <w:spacing w:after="39"/>
              <w:rPr>
                <w:szCs w:val="22"/>
              </w:rPr>
            </w:pPr>
            <w:proofErr w:type="spellStart"/>
            <w:r w:rsidRPr="00E12EA5">
              <w:rPr>
                <w:szCs w:val="22"/>
              </w:rPr>
              <w:t>Addiktológia</w:t>
            </w:r>
            <w:proofErr w:type="spellEnd"/>
          </w:p>
          <w:p w:rsidR="001075D4" w:rsidRDefault="001075D4" w:rsidP="001E747F">
            <w:pPr>
              <w:suppressLineNumbers/>
              <w:spacing w:after="39"/>
              <w:jc w:val="left"/>
              <w:rPr>
                <w:szCs w:val="22"/>
              </w:rPr>
            </w:pPr>
            <w:r>
              <w:rPr>
                <w:szCs w:val="22"/>
              </w:rPr>
              <w:t>Egészségtudományok (ezen belül az alábbiakban:</w:t>
            </w:r>
          </w:p>
          <w:p w:rsidR="001075D4" w:rsidRDefault="001075D4" w:rsidP="001E747F">
            <w:pPr>
              <w:suppressLineNumbers/>
              <w:spacing w:after="39"/>
              <w:rPr>
                <w:szCs w:val="22"/>
              </w:rPr>
            </w:pPr>
            <w:r>
              <w:rPr>
                <w:szCs w:val="22"/>
              </w:rPr>
              <w:t>Társadalomtudomány</w:t>
            </w:r>
          </w:p>
          <w:p w:rsidR="001075D4" w:rsidRPr="00E12EA5" w:rsidRDefault="001075D4" w:rsidP="001E747F">
            <w:pPr>
              <w:suppressLineNumbers/>
              <w:spacing w:after="39"/>
            </w:pPr>
            <w:r>
              <w:rPr>
                <w:szCs w:val="22"/>
              </w:rPr>
              <w:t>Nép- és közegészségügy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Default="001075D4" w:rsidP="001E747F">
            <w:pPr>
              <w:suppressLineNumbers/>
              <w:spacing w:after="39"/>
              <w:jc w:val="center"/>
              <w:rPr>
                <w:b/>
                <w:szCs w:val="22"/>
              </w:rPr>
            </w:pPr>
            <w:r w:rsidRPr="00E12EA5">
              <w:rPr>
                <w:b/>
                <w:szCs w:val="22"/>
              </w:rPr>
              <w:t>1,0</w:t>
            </w:r>
          </w:p>
          <w:p w:rsidR="001075D4" w:rsidRDefault="001075D4" w:rsidP="001E747F">
            <w:pPr>
              <w:suppressLineNumbers/>
              <w:spacing w:after="39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1.0</w:t>
            </w:r>
          </w:p>
          <w:p w:rsidR="001075D4" w:rsidRDefault="001075D4" w:rsidP="001E747F">
            <w:pPr>
              <w:suppressLineNumbers/>
              <w:spacing w:after="39"/>
              <w:jc w:val="center"/>
              <w:rPr>
                <w:b/>
                <w:szCs w:val="22"/>
              </w:rPr>
            </w:pPr>
          </w:p>
          <w:p w:rsidR="001075D4" w:rsidRDefault="001075D4" w:rsidP="001E747F">
            <w:pPr>
              <w:suppressLineNumbers/>
              <w:spacing w:after="39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0,75</w:t>
            </w:r>
          </w:p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>
              <w:rPr>
                <w:b/>
                <w:szCs w:val="22"/>
              </w:rPr>
              <w:t>0,75)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Fogászat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DFDFD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Kiemelt elméleti szakterületek: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DFDFD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Klinikai pszichológia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Biokémia, molekuláris biológia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Orr-fül-gégészet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gramStart"/>
            <w:r w:rsidRPr="00E12EA5">
              <w:rPr>
                <w:szCs w:val="22"/>
              </w:rPr>
              <w:t>Genetika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spellStart"/>
            <w:r w:rsidRPr="00E12EA5">
              <w:rPr>
                <w:szCs w:val="22"/>
              </w:rPr>
              <w:t>Orthopédia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Idegtudományok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Orvosi informatika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Immunológia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Rehabilitáció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Sejtbiológia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proofErr w:type="gramStart"/>
            <w:r w:rsidRPr="00E12EA5">
              <w:rPr>
                <w:szCs w:val="22"/>
              </w:rPr>
              <w:t>Trópusi</w:t>
            </w:r>
            <w:proofErr w:type="gramEnd"/>
            <w:r w:rsidRPr="00E12EA5">
              <w:rPr>
                <w:szCs w:val="22"/>
              </w:rPr>
              <w:t xml:space="preserve"> medicina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1,0</w:t>
            </w: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</w:pPr>
            <w:r w:rsidRPr="00E12EA5">
              <w:rPr>
                <w:szCs w:val="22"/>
              </w:rPr>
              <w:t>Virológia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  <w:r w:rsidRPr="00E12EA5">
              <w:rPr>
                <w:b/>
                <w:szCs w:val="22"/>
              </w:rPr>
              <w:t>5,0</w:t>
            </w: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  <w:tr w:rsidR="001075D4" w:rsidRPr="00E12EA5" w:rsidTr="001E747F">
        <w:tc>
          <w:tcPr>
            <w:tcW w:w="311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075D4" w:rsidRPr="00E12EA5" w:rsidRDefault="001075D4" w:rsidP="001E747F">
            <w:pPr>
              <w:suppressLineNumbers/>
              <w:spacing w:after="39"/>
              <w:jc w:val="center"/>
              <w:rPr>
                <w:b/>
              </w:rPr>
            </w:pPr>
          </w:p>
        </w:tc>
      </w:tr>
    </w:tbl>
    <w:p w:rsidR="001075D4" w:rsidRPr="00E12EA5" w:rsidRDefault="001075D4" w:rsidP="001075D4">
      <w:pPr>
        <w:suppressLineNumbers/>
        <w:rPr>
          <w:szCs w:val="22"/>
        </w:rPr>
      </w:pPr>
    </w:p>
    <w:p w:rsidR="001075D4" w:rsidRPr="00E12EA5" w:rsidRDefault="001075D4" w:rsidP="001075D4">
      <w:pPr>
        <w:suppressLineNumbers/>
        <w:rPr>
          <w:szCs w:val="22"/>
        </w:rPr>
      </w:pPr>
    </w:p>
    <w:p w:rsidR="001075D4" w:rsidRPr="00E12EA5" w:rsidRDefault="001075D4" w:rsidP="001075D4">
      <w:pPr>
        <w:suppressLineNumbers/>
        <w:rPr>
          <w:szCs w:val="22"/>
        </w:rPr>
      </w:pPr>
      <w:r w:rsidRPr="00E12EA5">
        <w:rPr>
          <w:szCs w:val="22"/>
        </w:rPr>
        <w:t>Az IF-</w:t>
      </w:r>
      <w:proofErr w:type="spellStart"/>
      <w:r w:rsidRPr="00E12EA5">
        <w:rPr>
          <w:szCs w:val="22"/>
        </w:rPr>
        <w:t>ral</w:t>
      </w:r>
      <w:proofErr w:type="spellEnd"/>
      <w:r w:rsidRPr="00E12EA5">
        <w:rPr>
          <w:szCs w:val="22"/>
        </w:rPr>
        <w:t xml:space="preserve"> nem rendelkező külföldi és hazai elfogadható folyóiratok jegyzékét a </w:t>
      </w:r>
      <w:r>
        <w:rPr>
          <w:szCs w:val="22"/>
        </w:rPr>
        <w:t>III.3.-9.</w:t>
      </w:r>
      <w:r w:rsidRPr="00E12EA5">
        <w:rPr>
          <w:i/>
          <w:szCs w:val="22"/>
        </w:rPr>
        <w:t xml:space="preserve"> </w:t>
      </w:r>
      <w:proofErr w:type="gramStart"/>
      <w:r w:rsidRPr="00E12EA5">
        <w:rPr>
          <w:i/>
          <w:szCs w:val="22"/>
        </w:rPr>
        <w:t>melléklet</w:t>
      </w:r>
      <w:proofErr w:type="gramEnd"/>
      <w:r w:rsidRPr="00E12EA5">
        <w:rPr>
          <w:szCs w:val="22"/>
        </w:rPr>
        <w:t xml:space="preserve"> </w:t>
      </w:r>
      <w:bookmarkStart w:id="1" w:name="_GoBack"/>
      <w:bookmarkEnd w:id="1"/>
      <w:r w:rsidRPr="00E12EA5">
        <w:rPr>
          <w:szCs w:val="22"/>
        </w:rPr>
        <w:t>tartalmazza.</w:t>
      </w:r>
    </w:p>
    <w:p w:rsidR="00A42942" w:rsidRDefault="00A42942"/>
    <w:sectPr w:rsidR="00A4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AA" w:rsidRDefault="006920AA" w:rsidP="001075D4">
      <w:r>
        <w:separator/>
      </w:r>
    </w:p>
  </w:endnote>
  <w:endnote w:type="continuationSeparator" w:id="0">
    <w:p w:rsidR="006920AA" w:rsidRDefault="006920AA" w:rsidP="0010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AA" w:rsidRDefault="006920AA" w:rsidP="001075D4">
      <w:r>
        <w:separator/>
      </w:r>
    </w:p>
  </w:footnote>
  <w:footnote w:type="continuationSeparator" w:id="0">
    <w:p w:rsidR="006920AA" w:rsidRDefault="006920AA" w:rsidP="001075D4">
      <w:r>
        <w:continuationSeparator/>
      </w:r>
    </w:p>
  </w:footnote>
  <w:footnote w:id="1">
    <w:p w:rsidR="001075D4" w:rsidRDefault="001075D4" w:rsidP="001075D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A734E">
        <w:t>Módosította a 170/2020. (VIII.27.) szenátusi határozat 1. sz. melléklet 2</w:t>
      </w:r>
      <w:r>
        <w:t>1</w:t>
      </w:r>
      <w:r w:rsidRPr="005A734E">
        <w:t>.§. Hatályos: 2020.09.09-től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D4"/>
    <w:rsid w:val="001075D4"/>
    <w:rsid w:val="006920AA"/>
    <w:rsid w:val="00A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67F4-EE3F-4D4F-BAAD-FB5D38E1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D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1075D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075D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1075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Dávid Márk</dc:creator>
  <cp:keywords/>
  <dc:description/>
  <cp:lastModifiedBy>Kelemen Dávid Márk</cp:lastModifiedBy>
  <cp:revision>1</cp:revision>
  <dcterms:created xsi:type="dcterms:W3CDTF">2021-04-12T07:48:00Z</dcterms:created>
  <dcterms:modified xsi:type="dcterms:W3CDTF">2021-04-12T07:48:00Z</dcterms:modified>
</cp:coreProperties>
</file>