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81593" w14:textId="77777777" w:rsidR="00E127E8" w:rsidRPr="001D3BCB" w:rsidRDefault="00121035" w:rsidP="001F5FB1">
      <w:pPr>
        <w:spacing w:after="0" w:line="240" w:lineRule="auto"/>
        <w:jc w:val="center"/>
        <w:rPr>
          <w:b/>
          <w:sz w:val="36"/>
          <w:szCs w:val="36"/>
        </w:rPr>
      </w:pPr>
      <w:r w:rsidRPr="001D3BCB">
        <w:rPr>
          <w:b/>
          <w:sz w:val="36"/>
          <w:szCs w:val="36"/>
        </w:rPr>
        <w:t>Vizsgáztatás</w:t>
      </w:r>
      <w:bookmarkStart w:id="0" w:name="_GoBack"/>
      <w:bookmarkEnd w:id="0"/>
      <w:r w:rsidRPr="001D3BCB">
        <w:rPr>
          <w:b/>
          <w:sz w:val="36"/>
          <w:szCs w:val="36"/>
        </w:rPr>
        <w:t xml:space="preserve"> és értékelés</w:t>
      </w:r>
    </w:p>
    <w:p w14:paraId="620067CA" w14:textId="77777777" w:rsidR="00F24761" w:rsidRPr="001E5482" w:rsidRDefault="00F24761" w:rsidP="00E127E8">
      <w:pPr>
        <w:spacing w:after="0" w:line="240" w:lineRule="auto"/>
        <w:rPr>
          <w:b/>
          <w:sz w:val="28"/>
          <w:szCs w:val="28"/>
        </w:rPr>
      </w:pPr>
    </w:p>
    <w:p w14:paraId="449AA3D9" w14:textId="7C1C0415" w:rsidR="00F24761" w:rsidRPr="001D3BCB" w:rsidRDefault="00F24761" w:rsidP="00E127E8">
      <w:pPr>
        <w:spacing w:after="0" w:line="240" w:lineRule="auto"/>
        <w:rPr>
          <w:b/>
          <w:color w:val="000000" w:themeColor="text1"/>
          <w:sz w:val="28"/>
          <w:szCs w:val="28"/>
        </w:rPr>
      </w:pPr>
      <w:r w:rsidRPr="001D3BCB">
        <w:rPr>
          <w:b/>
          <w:color w:val="000000" w:themeColor="text1"/>
          <w:sz w:val="28"/>
          <w:szCs w:val="28"/>
        </w:rPr>
        <w:t xml:space="preserve">Tartalomjegyzék </w:t>
      </w:r>
    </w:p>
    <w:p w14:paraId="59D59CE7" w14:textId="766AB654" w:rsidR="00E037BF" w:rsidRPr="001D3BCB" w:rsidRDefault="00DC76FE" w:rsidP="00E127E8">
      <w:pPr>
        <w:spacing w:after="0" w:line="240" w:lineRule="auto"/>
        <w:rPr>
          <w:b/>
          <w:color w:val="000000" w:themeColor="text1"/>
          <w:sz w:val="28"/>
          <w:szCs w:val="28"/>
        </w:rPr>
      </w:pPr>
      <w:r w:rsidRPr="001D3BCB">
        <w:rPr>
          <w:b/>
          <w:color w:val="000000" w:themeColor="text1"/>
          <w:sz w:val="28"/>
          <w:szCs w:val="28"/>
        </w:rPr>
        <w:t>I. Képzési és kutatási szakasz………………………………………………………………………..1.</w:t>
      </w:r>
    </w:p>
    <w:p w14:paraId="46ED042F" w14:textId="61A7C7C2" w:rsidR="00E037BF" w:rsidRPr="001D3BCB" w:rsidRDefault="00DC76FE" w:rsidP="00E127E8">
      <w:pPr>
        <w:spacing w:after="0" w:line="240" w:lineRule="auto"/>
        <w:rPr>
          <w:b/>
          <w:color w:val="000000" w:themeColor="text1"/>
          <w:sz w:val="28"/>
          <w:szCs w:val="28"/>
        </w:rPr>
      </w:pPr>
      <w:r w:rsidRPr="001D3BCB">
        <w:rPr>
          <w:b/>
          <w:color w:val="000000" w:themeColor="text1"/>
          <w:sz w:val="28"/>
          <w:szCs w:val="28"/>
        </w:rPr>
        <w:t xml:space="preserve">I. 1. </w:t>
      </w:r>
      <w:r w:rsidR="00E037BF" w:rsidRPr="001D3BCB">
        <w:rPr>
          <w:b/>
          <w:color w:val="000000" w:themeColor="text1"/>
          <w:sz w:val="28"/>
          <w:szCs w:val="28"/>
        </w:rPr>
        <w:t>Kreditek teljesítése</w:t>
      </w:r>
      <w:r w:rsidR="00DA72AE" w:rsidRPr="001D3BCB">
        <w:rPr>
          <w:b/>
          <w:color w:val="000000" w:themeColor="text1"/>
          <w:sz w:val="28"/>
          <w:szCs w:val="28"/>
        </w:rPr>
        <w:t xml:space="preserve">    </w:t>
      </w:r>
      <w:r w:rsidR="00E037BF" w:rsidRPr="001D3BCB">
        <w:rPr>
          <w:b/>
          <w:color w:val="000000" w:themeColor="text1"/>
          <w:sz w:val="28"/>
          <w:szCs w:val="28"/>
        </w:rPr>
        <w:t>………</w:t>
      </w:r>
      <w:r w:rsidRPr="001D3BCB">
        <w:rPr>
          <w:b/>
          <w:color w:val="000000" w:themeColor="text1"/>
          <w:sz w:val="28"/>
          <w:szCs w:val="28"/>
        </w:rPr>
        <w:t>….</w:t>
      </w:r>
      <w:r w:rsidR="00E037BF" w:rsidRPr="001D3BCB">
        <w:rPr>
          <w:b/>
          <w:color w:val="000000" w:themeColor="text1"/>
          <w:sz w:val="28"/>
          <w:szCs w:val="28"/>
        </w:rPr>
        <w:t>……………………………………………………………….</w:t>
      </w:r>
      <w:r w:rsidRPr="001D3BCB">
        <w:rPr>
          <w:b/>
          <w:color w:val="000000" w:themeColor="text1"/>
          <w:sz w:val="28"/>
          <w:szCs w:val="28"/>
        </w:rPr>
        <w:t>.</w:t>
      </w:r>
      <w:r w:rsidR="00E037BF" w:rsidRPr="001D3BCB">
        <w:rPr>
          <w:b/>
          <w:color w:val="000000" w:themeColor="text1"/>
          <w:sz w:val="28"/>
          <w:szCs w:val="28"/>
        </w:rPr>
        <w:t xml:space="preserve"> 1.</w:t>
      </w:r>
    </w:p>
    <w:p w14:paraId="1BBD9EC3" w14:textId="081AE079" w:rsidR="00FF5757" w:rsidRPr="001D3BCB" w:rsidRDefault="00DC76FE" w:rsidP="00E127E8">
      <w:pPr>
        <w:spacing w:after="0" w:line="240" w:lineRule="auto"/>
        <w:rPr>
          <w:b/>
          <w:color w:val="000000" w:themeColor="text1"/>
          <w:sz w:val="28"/>
          <w:szCs w:val="28"/>
        </w:rPr>
      </w:pPr>
      <w:r w:rsidRPr="001D3BCB">
        <w:rPr>
          <w:b/>
          <w:color w:val="000000" w:themeColor="text1"/>
          <w:sz w:val="28"/>
          <w:szCs w:val="28"/>
        </w:rPr>
        <w:t xml:space="preserve">I.2. </w:t>
      </w:r>
      <w:r w:rsidR="00FF5757" w:rsidRPr="001D3BCB">
        <w:rPr>
          <w:b/>
          <w:color w:val="000000" w:themeColor="text1"/>
          <w:sz w:val="28"/>
          <w:szCs w:val="28"/>
        </w:rPr>
        <w:t>Komplex vizsga ………………………………………………………………………………………2.</w:t>
      </w:r>
    </w:p>
    <w:p w14:paraId="7C61D701" w14:textId="3D462A86" w:rsidR="00DA72AE" w:rsidRPr="001D3BCB" w:rsidRDefault="00DA72AE" w:rsidP="00DA72AE">
      <w:pPr>
        <w:rPr>
          <w:rFonts w:ascii="Times New Roman" w:hAnsi="Times New Roman" w:cs="Times New Roman"/>
          <w:b/>
          <w:color w:val="000000" w:themeColor="text1"/>
          <w:sz w:val="28"/>
          <w:szCs w:val="28"/>
        </w:rPr>
      </w:pPr>
      <w:r w:rsidRPr="001D3BCB">
        <w:rPr>
          <w:rFonts w:ascii="Times New Roman" w:hAnsi="Times New Roman" w:cs="Times New Roman"/>
          <w:b/>
          <w:color w:val="000000" w:themeColor="text1"/>
          <w:sz w:val="28"/>
          <w:szCs w:val="28"/>
        </w:rPr>
        <w:t xml:space="preserve">II. Kutatási és disszertációs szakasz: Doktori fokozatszerzés </w:t>
      </w:r>
      <w:r w:rsidR="001D3BCB">
        <w:rPr>
          <w:rFonts w:ascii="Times New Roman" w:hAnsi="Times New Roman" w:cs="Times New Roman"/>
          <w:b/>
          <w:color w:val="000000" w:themeColor="text1"/>
          <w:sz w:val="28"/>
          <w:szCs w:val="28"/>
        </w:rPr>
        <w:t xml:space="preserve"> </w:t>
      </w:r>
      <w:r w:rsidRPr="001D3BCB">
        <w:rPr>
          <w:rFonts w:ascii="Times New Roman" w:hAnsi="Times New Roman" w:cs="Times New Roman"/>
          <w:b/>
          <w:color w:val="000000" w:themeColor="text1"/>
          <w:sz w:val="28"/>
          <w:szCs w:val="28"/>
        </w:rPr>
        <w:t>…………</w:t>
      </w:r>
      <w:r w:rsidR="001D3BCB">
        <w:rPr>
          <w:rFonts w:ascii="Times New Roman" w:hAnsi="Times New Roman" w:cs="Times New Roman"/>
          <w:b/>
          <w:color w:val="000000" w:themeColor="text1"/>
          <w:sz w:val="28"/>
          <w:szCs w:val="28"/>
        </w:rPr>
        <w:t>…. 2.</w:t>
      </w:r>
      <w:r w:rsidRPr="001D3BCB">
        <w:rPr>
          <w:rFonts w:ascii="Times New Roman" w:hAnsi="Times New Roman" w:cs="Times New Roman"/>
          <w:b/>
          <w:color w:val="000000" w:themeColor="text1"/>
          <w:sz w:val="28"/>
          <w:szCs w:val="28"/>
        </w:rPr>
        <w:t xml:space="preserve"> </w:t>
      </w:r>
    </w:p>
    <w:p w14:paraId="30776257" w14:textId="6C492A56" w:rsidR="001D3BCB" w:rsidRPr="001D3BCB" w:rsidRDefault="001D3BCB" w:rsidP="001D3BCB">
      <w:pPr>
        <w:rPr>
          <w:rFonts w:ascii="Times New Roman" w:hAnsi="Times New Roman" w:cs="Times New Roman"/>
          <w:b/>
          <w:color w:val="000000" w:themeColor="text1"/>
          <w:sz w:val="28"/>
          <w:szCs w:val="28"/>
        </w:rPr>
      </w:pPr>
      <w:r w:rsidRPr="001D3BCB">
        <w:rPr>
          <w:rFonts w:ascii="Times New Roman" w:hAnsi="Times New Roman" w:cs="Times New Roman"/>
          <w:b/>
          <w:color w:val="000000" w:themeColor="text1"/>
          <w:sz w:val="28"/>
          <w:szCs w:val="28"/>
        </w:rPr>
        <w:t>III. A Mentális Egészségtudományi Doktori Iskola speciális számonkérési formá</w:t>
      </w:r>
      <w:r w:rsidR="00197A9D">
        <w:rPr>
          <w:rFonts w:ascii="Times New Roman" w:hAnsi="Times New Roman" w:cs="Times New Roman"/>
          <w:b/>
          <w:color w:val="000000" w:themeColor="text1"/>
          <w:sz w:val="28"/>
          <w:szCs w:val="28"/>
        </w:rPr>
        <w:t xml:space="preserve">i…………………………………………………………………………  </w:t>
      </w:r>
      <w:r w:rsidRPr="001D3BCB">
        <w:rPr>
          <w:rFonts w:ascii="Times New Roman" w:hAnsi="Times New Roman" w:cs="Times New Roman"/>
          <w:b/>
          <w:color w:val="000000" w:themeColor="text1"/>
          <w:sz w:val="28"/>
          <w:szCs w:val="28"/>
        </w:rPr>
        <w:t>3.</w:t>
      </w:r>
    </w:p>
    <w:p w14:paraId="4D9D2427" w14:textId="03F5B069" w:rsidR="001D3BCB" w:rsidRPr="001D3BCB" w:rsidRDefault="001D3BCB" w:rsidP="001D3BCB">
      <w:pPr>
        <w:rPr>
          <w:rFonts w:ascii="Times New Roman" w:hAnsi="Times New Roman" w:cs="Times New Roman"/>
          <w:b/>
          <w:color w:val="000000" w:themeColor="text1"/>
          <w:sz w:val="28"/>
          <w:szCs w:val="28"/>
        </w:rPr>
      </w:pPr>
      <w:r w:rsidRPr="001D3BCB">
        <w:rPr>
          <w:rFonts w:ascii="Times New Roman" w:hAnsi="Times New Roman" w:cs="Times New Roman"/>
          <w:b/>
          <w:color w:val="000000" w:themeColor="text1"/>
          <w:sz w:val="28"/>
          <w:szCs w:val="28"/>
        </w:rPr>
        <w:t>IV. Kiemelt részek a Doktori S</w:t>
      </w:r>
      <w:r w:rsidR="00197A9D">
        <w:rPr>
          <w:rFonts w:ascii="Times New Roman" w:hAnsi="Times New Roman" w:cs="Times New Roman"/>
          <w:b/>
          <w:color w:val="000000" w:themeColor="text1"/>
          <w:sz w:val="28"/>
          <w:szCs w:val="28"/>
        </w:rPr>
        <w:t>zabályzatból…………………………….       3</w:t>
      </w:r>
      <w:r w:rsidRPr="001D3BCB">
        <w:rPr>
          <w:rFonts w:ascii="Times New Roman" w:hAnsi="Times New Roman" w:cs="Times New Roman"/>
          <w:b/>
          <w:color w:val="000000" w:themeColor="text1"/>
          <w:sz w:val="28"/>
          <w:szCs w:val="28"/>
        </w:rPr>
        <w:t>.</w:t>
      </w:r>
    </w:p>
    <w:p w14:paraId="76580E97" w14:textId="77777777" w:rsidR="001D3BCB" w:rsidRPr="001D3BCB" w:rsidRDefault="001D3BCB" w:rsidP="00DA72AE">
      <w:pPr>
        <w:rPr>
          <w:rFonts w:ascii="Times New Roman" w:hAnsi="Times New Roman" w:cs="Times New Roman"/>
          <w:b/>
          <w:color w:val="000000" w:themeColor="text1"/>
          <w:sz w:val="28"/>
          <w:szCs w:val="28"/>
        </w:rPr>
      </w:pPr>
    </w:p>
    <w:p w14:paraId="17D87558" w14:textId="77777777" w:rsidR="00DA72AE" w:rsidRPr="00DA72AE" w:rsidRDefault="00DA72AE" w:rsidP="00DA72AE">
      <w:pPr>
        <w:spacing w:after="0" w:line="240" w:lineRule="auto"/>
        <w:rPr>
          <w:b/>
          <w:sz w:val="28"/>
          <w:szCs w:val="28"/>
        </w:rPr>
      </w:pPr>
      <w:r w:rsidRPr="00DA72AE">
        <w:rPr>
          <w:b/>
          <w:sz w:val="28"/>
          <w:szCs w:val="28"/>
        </w:rPr>
        <w:t>Vizsgáztatás és értékelés</w:t>
      </w:r>
    </w:p>
    <w:p w14:paraId="7B8C9225" w14:textId="77777777" w:rsidR="00F24761" w:rsidRPr="002A2456" w:rsidRDefault="00F24761" w:rsidP="00E127E8">
      <w:pPr>
        <w:spacing w:after="0" w:line="240" w:lineRule="auto"/>
        <w:rPr>
          <w:rFonts w:cstheme="minorHAnsi"/>
          <w:b/>
          <w:color w:val="FF0000"/>
          <w:sz w:val="20"/>
          <w:szCs w:val="20"/>
          <w:u w:val="single"/>
        </w:rPr>
      </w:pPr>
    </w:p>
    <w:p w14:paraId="5ACF9F3C" w14:textId="77777777" w:rsidR="002A2456" w:rsidRDefault="002A2456" w:rsidP="002A2456">
      <w:pPr>
        <w:spacing w:line="300" w:lineRule="exact"/>
        <w:rPr>
          <w:rFonts w:ascii="Times New Roman" w:eastAsia="Times New Roman" w:hAnsi="Times New Roman" w:cs="Times New Roman"/>
          <w:color w:val="000000" w:themeColor="text1"/>
          <w:sz w:val="24"/>
          <w:szCs w:val="24"/>
          <w:lang w:eastAsia="hu-HU"/>
        </w:rPr>
      </w:pPr>
      <w:r w:rsidRPr="002F6D06">
        <w:rPr>
          <w:rFonts w:ascii="Times New Roman" w:hAnsi="Times New Roman" w:cs="Times New Roman"/>
          <w:color w:val="000000" w:themeColor="text1"/>
        </w:rPr>
        <w:t>A Mentális Egészségtudományok Doktori Iskola vizsgáztatási és értékelési rendjének jogszabályi környezetét a Semmelweis Egyetem Doktori Szabályzata és mellékletei adják. (</w:t>
      </w:r>
      <w:r w:rsidRPr="002F6D06">
        <w:rPr>
          <w:rFonts w:ascii="Times New Roman" w:eastAsia="Times New Roman" w:hAnsi="Times New Roman" w:cs="Times New Roman"/>
          <w:color w:val="000000" w:themeColor="text1"/>
          <w:sz w:val="24"/>
          <w:szCs w:val="24"/>
          <w:lang w:eastAsia="hu-HU"/>
        </w:rPr>
        <w:t xml:space="preserve">4. § A doktori képzés felépítése, kreditrendszere (DSZ 6-9 §), félévzárás 10.§, DSZ mellékletek, pl. komplex vizsga szabályzat DSZ 5. §). </w:t>
      </w:r>
      <w:r w:rsidR="00F24761">
        <w:rPr>
          <w:rFonts w:ascii="Times New Roman" w:hAnsi="Times New Roman" w:cs="Times New Roman"/>
          <w:color w:val="000000" w:themeColor="text1"/>
        </w:rPr>
        <w:t>A</w:t>
      </w:r>
      <w:r w:rsidRPr="002F6D06">
        <w:rPr>
          <w:rFonts w:ascii="Times New Roman" w:hAnsi="Times New Roman" w:cs="Times New Roman"/>
          <w:color w:val="000000" w:themeColor="text1"/>
        </w:rPr>
        <w:t xml:space="preserve">z iskola PhD képzési és fokozatszerzési tevékenységét a következő </w:t>
      </w:r>
      <w:r w:rsidRPr="002F6D06">
        <w:rPr>
          <w:rFonts w:ascii="Times New Roman" w:eastAsia="Times New Roman" w:hAnsi="Times New Roman" w:cs="Times New Roman"/>
          <w:color w:val="000000" w:themeColor="text1"/>
          <w:sz w:val="24"/>
          <w:szCs w:val="24"/>
          <w:lang w:eastAsia="hu-HU"/>
        </w:rPr>
        <w:t>Egyetemi Doktori Tanács által felhatalmazott állandó bizottságok</w:t>
      </w:r>
      <w:r w:rsidRPr="002F6D06">
        <w:rPr>
          <w:rFonts w:ascii="Times New Roman" w:hAnsi="Times New Roman" w:cs="Times New Roman"/>
          <w:color w:val="000000" w:themeColor="text1"/>
        </w:rPr>
        <w:t xml:space="preserve"> felügyelik: </w:t>
      </w:r>
      <w:r w:rsidRPr="002F6D06">
        <w:rPr>
          <w:rFonts w:ascii="Times New Roman" w:eastAsia="Times New Roman" w:hAnsi="Times New Roman" w:cs="Times New Roman"/>
          <w:color w:val="000000" w:themeColor="text1"/>
          <w:sz w:val="24"/>
          <w:szCs w:val="24"/>
          <w:lang w:eastAsia="hu-HU"/>
        </w:rPr>
        <w:t>Oktatási és Kredit Bizottság, Véleményező és Minőségellenőrző Bizottság, Nemzetközi Bizottság és Fegyelmi és Etikai Bizottság (DSZ. 24. § 3/i.)</w:t>
      </w:r>
    </w:p>
    <w:p w14:paraId="6A1C9C22" w14:textId="5403B2B6" w:rsidR="001E5482" w:rsidRPr="00DC76FE" w:rsidRDefault="00AF2CC6" w:rsidP="002A2456">
      <w:pPr>
        <w:spacing w:line="300" w:lineRule="exac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DC76FE" w:rsidRPr="00DC76FE">
        <w:rPr>
          <w:rFonts w:ascii="Times New Roman" w:hAnsi="Times New Roman" w:cs="Times New Roman"/>
          <w:b/>
          <w:color w:val="000000" w:themeColor="text1"/>
          <w:sz w:val="28"/>
          <w:szCs w:val="28"/>
        </w:rPr>
        <w:t xml:space="preserve">Képzési és kutatási szakasz: </w:t>
      </w:r>
    </w:p>
    <w:p w14:paraId="669EAE4C" w14:textId="35F69450" w:rsidR="001E5482" w:rsidRPr="00DC76FE" w:rsidRDefault="00AF2CC6" w:rsidP="002A2456">
      <w:pPr>
        <w:spacing w:line="300"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I.1.</w:t>
      </w:r>
      <w:r w:rsidR="001E5482" w:rsidRPr="00DC76FE">
        <w:rPr>
          <w:rFonts w:ascii="Times New Roman" w:hAnsi="Times New Roman" w:cs="Times New Roman"/>
          <w:b/>
          <w:color w:val="000000" w:themeColor="text1"/>
          <w:sz w:val="24"/>
          <w:szCs w:val="24"/>
        </w:rPr>
        <w:t>Kreditek teljesítése</w:t>
      </w:r>
    </w:p>
    <w:p w14:paraId="709193AA" w14:textId="77777777" w:rsidR="002A2456" w:rsidRPr="002F6D06" w:rsidRDefault="002A2456" w:rsidP="002A2456">
      <w:pPr>
        <w:spacing w:line="300" w:lineRule="exact"/>
        <w:rPr>
          <w:rFonts w:ascii="Times New Roman" w:hAnsi="Times New Roman" w:cs="Times New Roman"/>
          <w:color w:val="000000" w:themeColor="text1"/>
        </w:rPr>
      </w:pPr>
      <w:r w:rsidRPr="002F6D06">
        <w:rPr>
          <w:rFonts w:ascii="Times New Roman" w:hAnsi="Times New Roman" w:cs="Times New Roman"/>
          <w:color w:val="000000" w:themeColor="text1"/>
        </w:rPr>
        <w:t xml:space="preserve">A képzés </w:t>
      </w:r>
      <w:r w:rsidR="00281961">
        <w:rPr>
          <w:rFonts w:ascii="Times New Roman" w:hAnsi="Times New Roman" w:cs="Times New Roman"/>
          <w:color w:val="000000" w:themeColor="text1"/>
        </w:rPr>
        <w:t>4 éve (</w:t>
      </w:r>
      <w:r w:rsidRPr="002F6D06">
        <w:rPr>
          <w:rFonts w:ascii="Times New Roman" w:hAnsi="Times New Roman" w:cs="Times New Roman"/>
          <w:color w:val="000000" w:themeColor="text1"/>
        </w:rPr>
        <w:t>8 féléve</w:t>
      </w:r>
      <w:r w:rsidR="00281961">
        <w:rPr>
          <w:rFonts w:ascii="Times New Roman" w:hAnsi="Times New Roman" w:cs="Times New Roman"/>
          <w:color w:val="000000" w:themeColor="text1"/>
        </w:rPr>
        <w:t>)</w:t>
      </w:r>
      <w:r w:rsidRPr="002F6D06">
        <w:rPr>
          <w:rFonts w:ascii="Times New Roman" w:hAnsi="Times New Roman" w:cs="Times New Roman"/>
          <w:color w:val="000000" w:themeColor="text1"/>
        </w:rPr>
        <w:t xml:space="preserve"> 2 év</w:t>
      </w:r>
      <w:r w:rsidR="00281961">
        <w:rPr>
          <w:rFonts w:ascii="Times New Roman" w:hAnsi="Times New Roman" w:cs="Times New Roman"/>
          <w:color w:val="000000" w:themeColor="text1"/>
        </w:rPr>
        <w:t xml:space="preserve"> (4 félév) </w:t>
      </w:r>
      <w:r w:rsidRPr="002F6D06">
        <w:rPr>
          <w:rFonts w:ascii="Times New Roman" w:hAnsi="Times New Roman" w:cs="Times New Roman"/>
          <w:color w:val="000000" w:themeColor="text1"/>
        </w:rPr>
        <w:t>+</w:t>
      </w:r>
      <w:r w:rsidR="00281961">
        <w:rPr>
          <w:rFonts w:ascii="Times New Roman" w:hAnsi="Times New Roman" w:cs="Times New Roman"/>
          <w:color w:val="000000" w:themeColor="text1"/>
        </w:rPr>
        <w:t xml:space="preserve"> </w:t>
      </w:r>
      <w:r w:rsidRPr="002F6D06">
        <w:rPr>
          <w:rFonts w:ascii="Times New Roman" w:hAnsi="Times New Roman" w:cs="Times New Roman"/>
          <w:color w:val="000000" w:themeColor="text1"/>
        </w:rPr>
        <w:t>2év</w:t>
      </w:r>
      <w:r w:rsidR="00281961">
        <w:rPr>
          <w:rFonts w:ascii="Times New Roman" w:hAnsi="Times New Roman" w:cs="Times New Roman"/>
          <w:color w:val="000000" w:themeColor="text1"/>
        </w:rPr>
        <w:t xml:space="preserve"> (4 félév)</w:t>
      </w:r>
      <w:r w:rsidRPr="002F6D06">
        <w:rPr>
          <w:rFonts w:ascii="Times New Roman" w:hAnsi="Times New Roman" w:cs="Times New Roman"/>
          <w:color w:val="000000" w:themeColor="text1"/>
        </w:rPr>
        <w:t xml:space="preserve">  rendszerben oszlik meg szabályzat szerint  „</w:t>
      </w:r>
      <w:r w:rsidRPr="002F6D06">
        <w:rPr>
          <w:rFonts w:ascii="Times New Roman" w:hAnsi="Times New Roman" w:cs="Times New Roman"/>
          <w:color w:val="000000" w:themeColor="text1"/>
          <w:sz w:val="24"/>
        </w:rPr>
        <w:t xml:space="preserve">A doktori képzés képzési és kutatási, valamint kutatási és disszertációs szakaszból áll” </w:t>
      </w:r>
      <w:r w:rsidR="00281961">
        <w:rPr>
          <w:rFonts w:ascii="Times New Roman" w:hAnsi="Times New Roman" w:cs="Times New Roman"/>
          <w:color w:val="000000" w:themeColor="text1"/>
          <w:sz w:val="24"/>
        </w:rPr>
        <w:t>(</w:t>
      </w:r>
      <w:r w:rsidRPr="002F6D06">
        <w:rPr>
          <w:rFonts w:ascii="Times New Roman" w:hAnsi="Times New Roman" w:cs="Times New Roman"/>
          <w:color w:val="000000" w:themeColor="text1"/>
          <w:sz w:val="24"/>
        </w:rPr>
        <w:t>4. paragrafus 1. pont</w:t>
      </w:r>
      <w:r w:rsidR="00281961">
        <w:rPr>
          <w:rFonts w:ascii="Times New Roman" w:hAnsi="Times New Roman" w:cs="Times New Roman"/>
          <w:color w:val="000000" w:themeColor="text1"/>
          <w:sz w:val="24"/>
        </w:rPr>
        <w:t>)</w:t>
      </w:r>
      <w:r w:rsidRPr="002F6D06">
        <w:rPr>
          <w:rFonts w:ascii="Times New Roman" w:hAnsi="Times New Roman" w:cs="Times New Roman"/>
          <w:color w:val="000000" w:themeColor="text1"/>
          <w:sz w:val="24"/>
        </w:rPr>
        <w:t>.</w:t>
      </w:r>
    </w:p>
    <w:p w14:paraId="1BDADCD7" w14:textId="77777777" w:rsidR="002A2456" w:rsidRPr="002F6D06" w:rsidRDefault="002A2456" w:rsidP="002A2456">
      <w:pPr>
        <w:spacing w:line="300" w:lineRule="exact"/>
        <w:rPr>
          <w:rFonts w:ascii="Times New Roman" w:hAnsi="Times New Roman" w:cs="Times New Roman"/>
          <w:color w:val="000000" w:themeColor="text1"/>
          <w:sz w:val="24"/>
        </w:rPr>
      </w:pPr>
      <w:r w:rsidRPr="002F6D06">
        <w:rPr>
          <w:rFonts w:ascii="Times New Roman" w:hAnsi="Times New Roman" w:cs="Times New Roman"/>
          <w:color w:val="000000" w:themeColor="text1"/>
        </w:rPr>
        <w:t>A kreditek típusát és teljesítésének feltételeit a Doktori Szabályzat határozza meg, amely szerint tanulmányi, oktatási és kutatási kreditekkel lehetséges megszerezni az abszolutóriumhoz szükséges 240 kreditpontot.</w:t>
      </w:r>
      <w:r w:rsidRPr="002F6D06">
        <w:rPr>
          <w:rFonts w:ascii="Times New Roman" w:hAnsi="Times New Roman" w:cs="Times New Roman"/>
          <w:color w:val="000000" w:themeColor="text1"/>
          <w:sz w:val="24"/>
        </w:rPr>
        <w:t xml:space="preserve"> </w:t>
      </w:r>
    </w:p>
    <w:p w14:paraId="3656F627" w14:textId="77777777" w:rsidR="002A2456" w:rsidRPr="002F6D06" w:rsidRDefault="002A2456" w:rsidP="002A2456">
      <w:pPr>
        <w:spacing w:line="300" w:lineRule="exact"/>
        <w:rPr>
          <w:rFonts w:ascii="Times New Roman" w:hAnsi="Times New Roman" w:cs="Times New Roman"/>
          <w:color w:val="000000" w:themeColor="text1"/>
          <w:sz w:val="24"/>
        </w:rPr>
      </w:pPr>
      <w:r w:rsidRPr="002F6D06">
        <w:rPr>
          <w:rFonts w:ascii="Times New Roman" w:hAnsi="Times New Roman" w:cs="Times New Roman"/>
          <w:color w:val="000000" w:themeColor="text1"/>
        </w:rPr>
        <w:t>A doktori képzés folyamatában előírás, hogy PhD hallgatóink félé</w:t>
      </w:r>
      <w:r w:rsidR="00895842">
        <w:rPr>
          <w:rFonts w:ascii="Times New Roman" w:hAnsi="Times New Roman" w:cs="Times New Roman"/>
          <w:color w:val="000000" w:themeColor="text1"/>
        </w:rPr>
        <w:t xml:space="preserve">venként 30 kreditet érjenek el </w:t>
      </w:r>
      <w:r w:rsidRPr="002F6D06">
        <w:rPr>
          <w:rFonts w:ascii="Times New Roman" w:hAnsi="Times New Roman" w:cs="Times New Roman"/>
          <w:color w:val="000000" w:themeColor="text1"/>
        </w:rPr>
        <w:t>a három kredit típus összesítésével.</w:t>
      </w:r>
    </w:p>
    <w:p w14:paraId="412E0C09" w14:textId="77777777" w:rsidR="002A2456" w:rsidRPr="002F6D06" w:rsidRDefault="002A2456" w:rsidP="002A2456">
      <w:pPr>
        <w:spacing w:line="300" w:lineRule="exact"/>
        <w:rPr>
          <w:rFonts w:ascii="Times New Roman" w:hAnsi="Times New Roman" w:cs="Times New Roman"/>
          <w:i/>
          <w:color w:val="000000" w:themeColor="text1"/>
          <w:sz w:val="24"/>
        </w:rPr>
      </w:pPr>
      <w:r w:rsidRPr="002F6D06">
        <w:rPr>
          <w:rFonts w:ascii="Times New Roman" w:hAnsi="Times New Roman" w:cs="Times New Roman"/>
        </w:rPr>
        <w:t xml:space="preserve"> „</w:t>
      </w:r>
      <w:r w:rsidRPr="002F6D06">
        <w:rPr>
          <w:rFonts w:ascii="Times New Roman" w:hAnsi="Times New Roman" w:cs="Times New Roman"/>
          <w:i/>
          <w:color w:val="000000" w:themeColor="text1"/>
          <w:sz w:val="24"/>
        </w:rPr>
        <w:t>A 16 tanulmányi kreditpontot az 1-4. szemeszterekben kell megszerezni, szemeszterenként legalább egy kurzus felvétele kötelező. Ez a kötelezettség nem vonatkozik azon hallgatókra, akik a 16 tanulmányi kreditet rövidebb időtartam alatt teljesítik. A hallgató számára a DI vezetője meghatározhatja, hogy adott szemeszterben mely kurzusok elvégzése (és a kreditek megszerzése) kötelező”.</w:t>
      </w:r>
      <w:r w:rsidRPr="002F6D06">
        <w:rPr>
          <w:rFonts w:ascii="Times New Roman" w:hAnsi="Times New Roman" w:cs="Times New Roman"/>
        </w:rPr>
        <w:t xml:space="preserve"> 7. §.14. pont</w:t>
      </w:r>
    </w:p>
    <w:p w14:paraId="2BBAAC3E" w14:textId="2CC6CDB3" w:rsidR="002A2456" w:rsidRPr="002F6D06" w:rsidRDefault="00CF4B1A" w:rsidP="002A2456">
      <w:pPr>
        <w:spacing w:line="300" w:lineRule="exact"/>
        <w:rPr>
          <w:rFonts w:ascii="Times New Roman" w:hAnsi="Times New Roman" w:cs="Times New Roman"/>
          <w:color w:val="000000" w:themeColor="text1"/>
          <w:sz w:val="24"/>
        </w:rPr>
      </w:pPr>
      <w:r>
        <w:rPr>
          <w:rFonts w:ascii="Times New Roman" w:hAnsi="Times New Roman" w:cs="Times New Roman"/>
          <w:color w:val="000000" w:themeColor="text1"/>
        </w:rPr>
        <w:t xml:space="preserve"> </w:t>
      </w:r>
      <w:r w:rsidR="002A2456" w:rsidRPr="002F6D06">
        <w:rPr>
          <w:rFonts w:ascii="Times New Roman" w:hAnsi="Times New Roman" w:cs="Times New Roman"/>
          <w:color w:val="000000" w:themeColor="text1"/>
        </w:rPr>
        <w:t xml:space="preserve"> A tanulmányi kreditek teljesítése PhD kurzusok vizsgáinak teljesítésével lehetséges. A szabályzat előírja, hogy egy kredit legalább 14 óra munkaórát jelent. A kurzusok zárásaként háromfokozatú </w:t>
      </w:r>
      <w:r w:rsidR="002A2456" w:rsidRPr="002F6D06">
        <w:rPr>
          <w:rFonts w:ascii="Times New Roman" w:hAnsi="Times New Roman" w:cs="Times New Roman"/>
          <w:color w:val="000000" w:themeColor="text1"/>
        </w:rPr>
        <w:lastRenderedPageBreak/>
        <w:t>minősítést kell adni.</w:t>
      </w:r>
      <w:r w:rsidR="002A2456" w:rsidRPr="002F6D06">
        <w:rPr>
          <w:rFonts w:ascii="Times New Roman" w:hAnsi="Times New Roman" w:cs="Times New Roman"/>
          <w:color w:val="000000" w:themeColor="text1"/>
          <w:sz w:val="24"/>
        </w:rPr>
        <w:t xml:space="preserve"> A 9. paragrafus 1. pontja értelmében „Az oktatási kreditek száma a teljes képzési ciklus alatt nem lehet több 45-nél”.</w:t>
      </w:r>
    </w:p>
    <w:p w14:paraId="336E80E5" w14:textId="77777777" w:rsidR="002A2456" w:rsidRDefault="002A2456" w:rsidP="002A2456">
      <w:pPr>
        <w:spacing w:line="300" w:lineRule="exact"/>
        <w:rPr>
          <w:rFonts w:ascii="Times New Roman" w:hAnsi="Times New Roman" w:cs="Times New Roman"/>
          <w:i/>
          <w:color w:val="000000" w:themeColor="text1"/>
          <w:sz w:val="24"/>
        </w:rPr>
      </w:pPr>
      <w:r w:rsidRPr="002F6D06">
        <w:rPr>
          <w:rFonts w:ascii="Times New Roman" w:hAnsi="Times New Roman" w:cs="Times New Roman"/>
          <w:color w:val="000000" w:themeColor="text1"/>
          <w:sz w:val="24"/>
        </w:rPr>
        <w:t xml:space="preserve">A 8. paragrafus 1. pontja szerint </w:t>
      </w:r>
      <w:r w:rsidRPr="002F6D06">
        <w:rPr>
          <w:rFonts w:ascii="Times New Roman" w:hAnsi="Times New Roman" w:cs="Times New Roman"/>
          <w:i/>
          <w:color w:val="000000" w:themeColor="text1"/>
          <w:sz w:val="24"/>
        </w:rPr>
        <w:t>„A kutatási krediteket a hallgató, mint kutató, felügyelet mellett végzett kutatómunkával szerezheti meg. A kreditek teljesítését a kutatási terv figyelembevételével az indexben a témavezető három- vagy ötfokozatú skála szerint értékeli és igazolja. Az adott félévben a kutatási kreditek indokolt (lehetséges) számát a két másik kreditszerzés alapján (30-ra történő kiegészítéssel) kell számolni”.</w:t>
      </w:r>
    </w:p>
    <w:p w14:paraId="315397C6" w14:textId="77777777" w:rsidR="00B044B0" w:rsidRPr="002F6D06" w:rsidRDefault="00B044B0" w:rsidP="002A2456">
      <w:pPr>
        <w:spacing w:line="300" w:lineRule="exact"/>
        <w:rPr>
          <w:rFonts w:ascii="Times New Roman" w:hAnsi="Times New Roman" w:cs="Times New Roman"/>
          <w:color w:val="000000" w:themeColor="text1"/>
          <w:sz w:val="24"/>
        </w:rPr>
      </w:pPr>
    </w:p>
    <w:p w14:paraId="6EF264D0" w14:textId="2E7CC173" w:rsidR="00B044B0" w:rsidRPr="00B044B0" w:rsidRDefault="00AF2CC6" w:rsidP="002A2456">
      <w:pPr>
        <w:spacing w:line="300" w:lineRule="exac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I.2.</w:t>
      </w:r>
      <w:r w:rsidR="00B044B0" w:rsidRPr="00B044B0">
        <w:rPr>
          <w:rFonts w:ascii="Times New Roman" w:hAnsi="Times New Roman" w:cs="Times New Roman"/>
          <w:b/>
          <w:color w:val="000000" w:themeColor="text1"/>
          <w:sz w:val="28"/>
          <w:szCs w:val="28"/>
        </w:rPr>
        <w:t>Komplex vizsga</w:t>
      </w:r>
    </w:p>
    <w:p w14:paraId="64127041" w14:textId="77777777" w:rsidR="002A2456" w:rsidRPr="002F6D06" w:rsidRDefault="002A2456" w:rsidP="002A2456">
      <w:pPr>
        <w:spacing w:line="300" w:lineRule="exact"/>
        <w:rPr>
          <w:rFonts w:ascii="Times New Roman" w:hAnsi="Times New Roman" w:cs="Times New Roman"/>
          <w:color w:val="000000" w:themeColor="text1"/>
          <w:sz w:val="24"/>
        </w:rPr>
      </w:pPr>
      <w:r w:rsidRPr="002F6D06">
        <w:rPr>
          <w:rFonts w:ascii="Times New Roman" w:hAnsi="Times New Roman" w:cs="Times New Roman"/>
          <w:color w:val="000000" w:themeColor="text1"/>
          <w:sz w:val="24"/>
        </w:rPr>
        <w:t xml:space="preserve">A 2016. szeptember 1-je után PhD képzését megkezdő hallgató </w:t>
      </w:r>
      <w:r w:rsidRPr="002F6D06">
        <w:rPr>
          <w:rFonts w:ascii="Times New Roman" w:hAnsi="Times New Roman" w:cs="Times New Roman"/>
          <w:b/>
          <w:color w:val="000000" w:themeColor="text1"/>
          <w:sz w:val="24"/>
        </w:rPr>
        <w:t>komplex vizsgára való jelentkezés</w:t>
      </w:r>
      <w:r w:rsidRPr="002F6D06">
        <w:rPr>
          <w:rFonts w:ascii="Times New Roman" w:hAnsi="Times New Roman" w:cs="Times New Roman"/>
          <w:color w:val="000000" w:themeColor="text1"/>
          <w:sz w:val="24"/>
        </w:rPr>
        <w:t>e írásbeli dokumentációval lehetséges: a témavezető aláírásával ellátott dokumentumon értékeli a hallgató munkáját, a PhD hallgató rögzíti előrehaladásának eredményeit, mellékeli az önéletrajzát, publikációs listáját és a komplex vizsga bizottságának összetételére irányuló formanyomtatványt, amelyet a programvezető előzetesen jóváhagyott. Iskolavezetői támogatás esetén a VMB véglegesíti a komplex vizsga bizottságának személyi összetételét, a vizsga fő- és melléktárgyait.</w:t>
      </w:r>
    </w:p>
    <w:p w14:paraId="32694EA6" w14:textId="77777777" w:rsidR="002A2456" w:rsidRPr="002F6D06" w:rsidRDefault="002A2456" w:rsidP="002A2456">
      <w:pPr>
        <w:rPr>
          <w:rFonts w:ascii="Times New Roman" w:hAnsi="Times New Roman" w:cs="Times New Roman"/>
          <w:color w:val="000000" w:themeColor="text1"/>
        </w:rPr>
      </w:pPr>
      <w:r w:rsidRPr="002F6D06">
        <w:rPr>
          <w:rFonts w:ascii="Times New Roman" w:hAnsi="Times New Roman" w:cs="Times New Roman"/>
          <w:b/>
          <w:color w:val="000000" w:themeColor="text1"/>
        </w:rPr>
        <w:t>A második képzési évet követő vizsgaidőszakban</w:t>
      </w:r>
      <w:r w:rsidRPr="002F6D06">
        <w:rPr>
          <w:rFonts w:ascii="Times New Roman" w:hAnsi="Times New Roman" w:cs="Times New Roman"/>
          <w:color w:val="000000" w:themeColor="text1"/>
        </w:rPr>
        <w:t xml:space="preserve"> szükséges </w:t>
      </w:r>
      <w:r w:rsidRPr="002F6D06">
        <w:rPr>
          <w:rFonts w:ascii="Times New Roman" w:hAnsi="Times New Roman" w:cs="Times New Roman"/>
          <w:b/>
          <w:color w:val="000000" w:themeColor="text1"/>
        </w:rPr>
        <w:t>komplex vizsgát</w:t>
      </w:r>
      <w:r w:rsidRPr="002F6D06">
        <w:rPr>
          <w:rFonts w:ascii="Times New Roman" w:hAnsi="Times New Roman" w:cs="Times New Roman"/>
          <w:color w:val="000000" w:themeColor="text1"/>
        </w:rPr>
        <w:t xml:space="preserve"> tenni a 2016. szeptember 1-jén rendszerbe lépett hallgatóknak. A komplex vizsga követelményeire, rendjére, értékelési szempontjaira a doktori szabályzat ad útmutatást, valamint a komplex vizsga jegyzőkönyve rögzíti a kötelezően részt vevő bizottsági tagokat, az EDT megfigyelő jelenlétének szükségességét,  a témavezető legfeljebb megfigyelői részvételét, a vizsga menetének rögzítésének szempontjait külön jegyzőkönyvben, amely központilag szabályozott formanyomtatványon történhet.</w:t>
      </w:r>
    </w:p>
    <w:p w14:paraId="53295675" w14:textId="77777777" w:rsidR="00AF2CC6" w:rsidRDefault="00AF2CC6" w:rsidP="002A2456">
      <w:pPr>
        <w:rPr>
          <w:rFonts w:ascii="Times New Roman" w:hAnsi="Times New Roman" w:cs="Times New Roman"/>
          <w:b/>
          <w:color w:val="000000" w:themeColor="text1"/>
          <w:sz w:val="28"/>
          <w:szCs w:val="28"/>
        </w:rPr>
      </w:pPr>
    </w:p>
    <w:p w14:paraId="6855753D" w14:textId="06F04951" w:rsidR="001F7DB1" w:rsidRPr="001F7DB1" w:rsidRDefault="00AF2CC6" w:rsidP="002A245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Kutatási és dis</w:t>
      </w:r>
      <w:r w:rsidR="00DA72AE">
        <w:rPr>
          <w:rFonts w:ascii="Times New Roman" w:hAnsi="Times New Roman" w:cs="Times New Roman"/>
          <w:b/>
          <w:color w:val="000000" w:themeColor="text1"/>
          <w:sz w:val="28"/>
          <w:szCs w:val="28"/>
        </w:rPr>
        <w:t xml:space="preserve">szertációs szakasz: </w:t>
      </w:r>
      <w:r>
        <w:rPr>
          <w:rFonts w:ascii="Times New Roman" w:hAnsi="Times New Roman" w:cs="Times New Roman"/>
          <w:b/>
          <w:color w:val="000000" w:themeColor="text1"/>
          <w:sz w:val="28"/>
          <w:szCs w:val="28"/>
        </w:rPr>
        <w:t>Doktori fokozatszerzés</w:t>
      </w:r>
    </w:p>
    <w:p w14:paraId="0CFAF267" w14:textId="0765B7D2" w:rsidR="002A2456" w:rsidRPr="002F6D06" w:rsidRDefault="009D203F" w:rsidP="009D203F">
      <w:pPr>
        <w:pStyle w:val="Cmsor5"/>
        <w:jc w:val="left"/>
        <w:rPr>
          <w:color w:val="000000" w:themeColor="text1"/>
        </w:rPr>
      </w:pPr>
      <w:r>
        <w:rPr>
          <w:color w:val="000000" w:themeColor="text1"/>
        </w:rPr>
        <w:t xml:space="preserve">A </w:t>
      </w:r>
      <w:r w:rsidRPr="009D203F">
        <w:rPr>
          <w:b/>
          <w:color w:val="000000" w:themeColor="text1"/>
        </w:rPr>
        <w:t>képzési és kutatási szakasz</w:t>
      </w:r>
      <w:r>
        <w:rPr>
          <w:color w:val="000000" w:themeColor="text1"/>
        </w:rPr>
        <w:t xml:space="preserve">t (az első négy félévet) követi a </w:t>
      </w:r>
      <w:r w:rsidRPr="009D203F">
        <w:rPr>
          <w:i w:val="0"/>
        </w:rPr>
        <w:t>„doktori fokozatszerzés</w:t>
      </w:r>
      <w:r w:rsidRPr="009D203F">
        <w:rPr>
          <w:b/>
          <w:i w:val="0"/>
        </w:rPr>
        <w:t xml:space="preserve"> a doktori képzés második, ún. kutatási és disszertációs szakasza, melynek feltétele a komplex vizsga teljesítése</w:t>
      </w:r>
      <w:r>
        <w:rPr>
          <w:b/>
          <w:i w:val="0"/>
        </w:rPr>
        <w:t>”</w:t>
      </w:r>
      <w:r w:rsidRPr="00683C57">
        <w:t xml:space="preserve"> </w:t>
      </w:r>
      <w:r>
        <w:t>(</w:t>
      </w:r>
      <w:r w:rsidRPr="00683C57">
        <w:t xml:space="preserve">18. § </w:t>
      </w:r>
      <w:r>
        <w:t>1.).</w:t>
      </w:r>
      <w:r>
        <w:rPr>
          <w:color w:val="000000" w:themeColor="text1"/>
        </w:rPr>
        <w:t xml:space="preserve"> Ebben a második négy féléves szakaszban is </w:t>
      </w:r>
      <w:r w:rsidR="002A2456" w:rsidRPr="002F6D06">
        <w:rPr>
          <w:color w:val="000000" w:themeColor="text1"/>
        </w:rPr>
        <w:t xml:space="preserve"> a </w:t>
      </w:r>
      <w:r>
        <w:rPr>
          <w:color w:val="000000" w:themeColor="text1"/>
        </w:rPr>
        <w:t>Doktori S</w:t>
      </w:r>
      <w:r w:rsidR="002A2456" w:rsidRPr="002F6D06">
        <w:rPr>
          <w:color w:val="000000" w:themeColor="text1"/>
        </w:rPr>
        <w:t>zabályzat minden lényeges ellenőrzési ponttal kapcsolatosan iránymutatást ad. (</w:t>
      </w:r>
      <w:r>
        <w:rPr>
          <w:color w:val="000000" w:themeColor="text1"/>
        </w:rPr>
        <w:t xml:space="preserve">DSZ pontok: 18. § [A doktori </w:t>
      </w:r>
      <w:r w:rsidR="002A2456" w:rsidRPr="002F6D06">
        <w:rPr>
          <w:color w:val="000000" w:themeColor="text1"/>
        </w:rPr>
        <w:t>fokozatszerzés] 22.o.</w:t>
      </w:r>
      <w:r>
        <w:rPr>
          <w:color w:val="000000" w:themeColor="text1"/>
        </w:rPr>
        <w:t xml:space="preserve">, </w:t>
      </w:r>
      <w:r w:rsidR="002A2456" w:rsidRPr="002F6D06">
        <w:rPr>
          <w:color w:val="000000" w:themeColor="text1"/>
        </w:rPr>
        <w:t>19. § [A fokozatszerzés publikációval kapcsolatos feltételei] 23. o., 20. § [Doktori értekezés] 27. o., 21. § [Doktori fokozat] 33. o.). Rögzíti a disszer</w:t>
      </w:r>
      <w:r>
        <w:rPr>
          <w:color w:val="000000" w:themeColor="text1"/>
        </w:rPr>
        <w:t>táció kötelező munkahelyi vita</w:t>
      </w:r>
      <w:r w:rsidR="002A2456" w:rsidRPr="002F6D06">
        <w:rPr>
          <w:color w:val="000000" w:themeColor="text1"/>
        </w:rPr>
        <w:t>,  a publikációs tevékenység (IF követelmény: III.3. - 7. melléklet, publ</w:t>
      </w:r>
      <w:r>
        <w:rPr>
          <w:color w:val="000000" w:themeColor="text1"/>
        </w:rPr>
        <w:t>ikációs pontok:</w:t>
      </w:r>
      <w:r w:rsidR="002A2456" w:rsidRPr="002F6D06">
        <w:rPr>
          <w:color w:val="000000" w:themeColor="text1"/>
        </w:rPr>
        <w:t xml:space="preserve">  III.3. - 8. melléklet, publikációs követelmények szabályzata DSZ 19. §) követelményeit, a disszertáció formai kritériumait (III.3. – 1a. és b- az értekezés formai követelményei), a 2016. szeptember 1-je </w:t>
      </w:r>
      <w:r w:rsidR="003E2287">
        <w:rPr>
          <w:color w:val="000000" w:themeColor="text1"/>
        </w:rPr>
        <w:t>e</w:t>
      </w:r>
      <w:r w:rsidR="002A2456" w:rsidRPr="002F6D06">
        <w:rPr>
          <w:color w:val="000000" w:themeColor="text1"/>
        </w:rPr>
        <w:t>lőtt rendszerbe lépett PhD jelöltek doktori szigorlatának elvárásait, a beszámítható tudományos publikációs orgánumok adatbázisát (elfogadható tudományos folyóiratok III.3. - 9. melléklet), végül meghatározza a nyilvános vita protokollját és jegyzőkönyvbe foglalásának módját (</w:t>
      </w:r>
      <w:bookmarkStart w:id="1" w:name="_Toc33093783"/>
      <w:r w:rsidR="002A2456" w:rsidRPr="002F6D06">
        <w:rPr>
          <w:color w:val="000000" w:themeColor="text1"/>
        </w:rPr>
        <w:t>III.3.</w:t>
      </w:r>
      <w:r w:rsidR="002A2456" w:rsidRPr="002F6D06" w:rsidDel="00B20A29">
        <w:rPr>
          <w:color w:val="000000" w:themeColor="text1"/>
        </w:rPr>
        <w:t xml:space="preserve"> </w:t>
      </w:r>
      <w:r w:rsidR="002A2456" w:rsidRPr="002F6D06">
        <w:rPr>
          <w:color w:val="000000" w:themeColor="text1"/>
        </w:rPr>
        <w:t>- 2. melléklet</w:t>
      </w:r>
      <w:bookmarkEnd w:id="1"/>
      <w:r w:rsidR="002A2456" w:rsidRPr="002F6D06">
        <w:rPr>
          <w:color w:val="000000" w:themeColor="text1"/>
        </w:rPr>
        <w:t xml:space="preserve"> A nyilvános vita menete)</w:t>
      </w:r>
      <w:r w:rsidR="003E2287">
        <w:rPr>
          <w:color w:val="000000" w:themeColor="text1"/>
        </w:rPr>
        <w:t>.</w:t>
      </w:r>
    </w:p>
    <w:p w14:paraId="12320075" w14:textId="59757D70" w:rsidR="002A2456" w:rsidRPr="002F6D06" w:rsidRDefault="002A2456" w:rsidP="002A2456">
      <w:pPr>
        <w:rPr>
          <w:rFonts w:ascii="Times New Roman" w:hAnsi="Times New Roman" w:cs="Times New Roman"/>
          <w:color w:val="000000" w:themeColor="text1"/>
        </w:rPr>
      </w:pPr>
      <w:r w:rsidRPr="002F6D06">
        <w:rPr>
          <w:rFonts w:ascii="Times New Roman" w:hAnsi="Times New Roman" w:cs="Times New Roman"/>
          <w:color w:val="000000" w:themeColor="text1"/>
          <w:sz w:val="24"/>
          <w:szCs w:val="24"/>
        </w:rPr>
        <w:t>A fenti vizsgabizottságok összetételével kapcsolatosan a Doktori Szabályzat pontos iránymutatást ad. Betartásával biztosítható a pártatlanság, kizárható a belterjesség. A bizottságokban résztvevő vizsgáz</w:t>
      </w:r>
      <w:r w:rsidR="00260B07">
        <w:rPr>
          <w:rFonts w:ascii="Times New Roman" w:hAnsi="Times New Roman" w:cs="Times New Roman"/>
          <w:color w:val="000000" w:themeColor="text1"/>
          <w:sz w:val="24"/>
          <w:szCs w:val="24"/>
        </w:rPr>
        <w:t>t</w:t>
      </w:r>
      <w:r w:rsidRPr="002F6D06">
        <w:rPr>
          <w:rFonts w:ascii="Times New Roman" w:hAnsi="Times New Roman" w:cs="Times New Roman"/>
          <w:color w:val="000000" w:themeColor="text1"/>
          <w:sz w:val="24"/>
          <w:szCs w:val="24"/>
        </w:rPr>
        <w:t xml:space="preserve">atók személyét a programvezető és a doktori iskola vezetőjének támogató nyilatkozata után minden esetben tudományos alapon a Semmelweis </w:t>
      </w:r>
      <w:r w:rsidRPr="002F6D06">
        <w:rPr>
          <w:rFonts w:ascii="Times New Roman" w:hAnsi="Times New Roman" w:cs="Times New Roman"/>
          <w:color w:val="000000" w:themeColor="text1"/>
          <w:sz w:val="24"/>
          <w:szCs w:val="24"/>
        </w:rPr>
        <w:lastRenderedPageBreak/>
        <w:t>Egyetem doktori képzés-és fokozatszerzésre szakosodott Véleményező és Minőségbiztosítási Bizottság elnöke hagyja jóvá.</w:t>
      </w:r>
    </w:p>
    <w:p w14:paraId="23485455" w14:textId="26F29C6E" w:rsidR="002A2456" w:rsidRDefault="002A2456" w:rsidP="002A2456">
      <w:pPr>
        <w:rPr>
          <w:rFonts w:ascii="Times New Roman" w:hAnsi="Times New Roman" w:cs="Times New Roman"/>
          <w:color w:val="000000" w:themeColor="text1"/>
        </w:rPr>
      </w:pPr>
      <w:r w:rsidRPr="002F6D06">
        <w:rPr>
          <w:rFonts w:ascii="Times New Roman" w:hAnsi="Times New Roman" w:cs="Times New Roman"/>
          <w:color w:val="000000" w:themeColor="text1"/>
        </w:rPr>
        <w:t>A formanyomtatványtárban megtalálható vizsgabizottsági összetételre irányuló nyomtatványok (komplex vizsga, PhD szigorlat, bírálók és vizsgáztatók a nyilvános védésen) tartalmazzák a  doktori szabályzat</w:t>
      </w:r>
      <w:r w:rsidR="003128A9">
        <w:rPr>
          <w:rFonts w:ascii="Times New Roman" w:hAnsi="Times New Roman" w:cs="Times New Roman"/>
          <w:color w:val="000000" w:themeColor="text1"/>
        </w:rPr>
        <w:t xml:space="preserve"> legfontosabb pontjait, amelyekről</w:t>
      </w:r>
      <w:r w:rsidRPr="002F6D06">
        <w:rPr>
          <w:rFonts w:ascii="Times New Roman" w:hAnsi="Times New Roman" w:cs="Times New Roman"/>
          <w:color w:val="000000" w:themeColor="text1"/>
        </w:rPr>
        <w:t xml:space="preserve"> minden PhD hallgató, fokozatszerző  és témavezető előzetesen is tájékozódhat.</w:t>
      </w:r>
    </w:p>
    <w:p w14:paraId="426DFE15" w14:textId="10B94745" w:rsidR="00F408E1" w:rsidRDefault="00F408E1" w:rsidP="002A2456">
      <w:pPr>
        <w:rPr>
          <w:rFonts w:ascii="Times New Roman" w:hAnsi="Times New Roman" w:cs="Times New Roman"/>
          <w:color w:val="000000" w:themeColor="text1"/>
        </w:rPr>
      </w:pPr>
    </w:p>
    <w:p w14:paraId="2EEFDB2A" w14:textId="6E2FD853" w:rsidR="00F408E1" w:rsidRPr="00F408E1" w:rsidRDefault="00AF2CC6" w:rsidP="002A245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III. </w:t>
      </w:r>
      <w:r w:rsidR="00F408E1" w:rsidRPr="00F408E1">
        <w:rPr>
          <w:rFonts w:ascii="Times New Roman" w:hAnsi="Times New Roman" w:cs="Times New Roman"/>
          <w:b/>
          <w:color w:val="000000" w:themeColor="text1"/>
          <w:sz w:val="28"/>
          <w:szCs w:val="28"/>
        </w:rPr>
        <w:t>A Mentális Egészségtudományi Doktori Iskola speciális számonkérési formái</w:t>
      </w:r>
    </w:p>
    <w:p w14:paraId="28D813D4" w14:textId="3645B5E6" w:rsidR="00B13013" w:rsidRPr="00616323" w:rsidRDefault="00B13013" w:rsidP="002A2456">
      <w:pPr>
        <w:rPr>
          <w:rFonts w:ascii="Times New Roman" w:hAnsi="Times New Roman" w:cs="Times New Roman"/>
          <w:color w:val="000000" w:themeColor="text1"/>
          <w:sz w:val="24"/>
          <w:szCs w:val="24"/>
        </w:rPr>
      </w:pPr>
      <w:r w:rsidRPr="00616323">
        <w:rPr>
          <w:rFonts w:ascii="Times New Roman" w:hAnsi="Times New Roman" w:cs="Times New Roman"/>
          <w:color w:val="000000" w:themeColor="text1"/>
          <w:sz w:val="24"/>
          <w:szCs w:val="24"/>
        </w:rPr>
        <w:t xml:space="preserve">A Mentális Egészségtudományok Doktori Iskolában </w:t>
      </w:r>
      <w:r w:rsidR="00F408E1" w:rsidRPr="00616323">
        <w:rPr>
          <w:rFonts w:ascii="Times New Roman" w:hAnsi="Times New Roman" w:cs="Times New Roman"/>
          <w:color w:val="000000" w:themeColor="text1"/>
          <w:sz w:val="24"/>
          <w:szCs w:val="24"/>
        </w:rPr>
        <w:t>speciális</w:t>
      </w:r>
      <w:r w:rsidRPr="00616323">
        <w:rPr>
          <w:rFonts w:ascii="Times New Roman" w:hAnsi="Times New Roman" w:cs="Times New Roman"/>
          <w:color w:val="000000" w:themeColor="text1"/>
          <w:sz w:val="24"/>
          <w:szCs w:val="24"/>
        </w:rPr>
        <w:t xml:space="preserve"> számonkérési forma a PhD Tudományos Napokon való egyedi részvétel az alábbiak szerint:</w:t>
      </w:r>
    </w:p>
    <w:p w14:paraId="047D626B" w14:textId="0ACE0E61" w:rsidR="00B13013" w:rsidRPr="00616323" w:rsidRDefault="00B13013" w:rsidP="00B13013">
      <w:pPr>
        <w:jc w:val="both"/>
        <w:rPr>
          <w:rFonts w:ascii="Times New Roman" w:hAnsi="Times New Roman" w:cs="Times New Roman"/>
          <w:sz w:val="24"/>
          <w:szCs w:val="24"/>
        </w:rPr>
      </w:pPr>
      <w:r w:rsidRPr="00616323">
        <w:rPr>
          <w:rFonts w:ascii="Times New Roman" w:hAnsi="Times New Roman" w:cs="Times New Roman"/>
          <w:sz w:val="24"/>
          <w:szCs w:val="24"/>
        </w:rPr>
        <w:t>Minden tanév második félévében a félév elfogadásának feltétele az iskolán belül egyedi módon meghatározott konferenciarészvétel: A Mentális Egészségtudományok Doktori Iskola a Semmelweis Egyetem PhD Tudományos Napok éves konferenciáján az elsőéveseknek részvételt, a másodéveseknek poszter prezentációs, harmadéveseknek pedig tudományos előadás követelményt ír elő</w:t>
      </w:r>
      <w:r w:rsidR="00E01148" w:rsidRPr="00616323">
        <w:rPr>
          <w:rFonts w:ascii="Times New Roman" w:hAnsi="Times New Roman" w:cs="Times New Roman"/>
          <w:sz w:val="24"/>
          <w:szCs w:val="24"/>
        </w:rPr>
        <w:t xml:space="preserve"> az Iskola által szervezett külön szekciók keretében</w:t>
      </w:r>
      <w:r w:rsidRPr="00616323">
        <w:rPr>
          <w:rFonts w:ascii="Times New Roman" w:hAnsi="Times New Roman" w:cs="Times New Roman"/>
          <w:sz w:val="24"/>
          <w:szCs w:val="24"/>
        </w:rPr>
        <w:t xml:space="preserve">. </w:t>
      </w:r>
    </w:p>
    <w:p w14:paraId="59355166" w14:textId="77777777" w:rsidR="00B13013" w:rsidRPr="002F6D06" w:rsidRDefault="00B13013" w:rsidP="002A2456">
      <w:pPr>
        <w:rPr>
          <w:rFonts w:ascii="Times New Roman" w:hAnsi="Times New Roman" w:cs="Times New Roman"/>
          <w:color w:val="000000" w:themeColor="text1"/>
        </w:rPr>
      </w:pPr>
    </w:p>
    <w:p w14:paraId="6D80AE89" w14:textId="0535BF42" w:rsidR="002A2456" w:rsidRPr="00616323" w:rsidRDefault="001D3BCB" w:rsidP="002A245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IV. </w:t>
      </w:r>
      <w:r w:rsidR="002A2456" w:rsidRPr="00616323">
        <w:rPr>
          <w:rFonts w:ascii="Times New Roman" w:hAnsi="Times New Roman" w:cs="Times New Roman"/>
          <w:b/>
          <w:color w:val="000000" w:themeColor="text1"/>
          <w:sz w:val="28"/>
          <w:szCs w:val="28"/>
        </w:rPr>
        <w:t>Kiemelt részek a Doktori Szabályzatból:</w:t>
      </w:r>
    </w:p>
    <w:p w14:paraId="7CB4C0F7" w14:textId="77777777" w:rsidR="002A2456" w:rsidRPr="002F6D06" w:rsidRDefault="002A2456" w:rsidP="002A2456">
      <w:pPr>
        <w:pStyle w:val="Cmsor5"/>
      </w:pPr>
      <w:bookmarkStart w:id="2" w:name="_Toc33093857"/>
      <w:r w:rsidRPr="002F6D06">
        <w:t>4. § [A doktori képzés felépítése]</w:t>
      </w:r>
      <w:bookmarkEnd w:id="2"/>
    </w:p>
    <w:p w14:paraId="3D5BC608" w14:textId="77777777" w:rsidR="002A2456" w:rsidRPr="002F6D06" w:rsidRDefault="002A2456" w:rsidP="002A2456">
      <w:pPr>
        <w:spacing w:line="300" w:lineRule="exact"/>
        <w:rPr>
          <w:rFonts w:ascii="Times New Roman" w:hAnsi="Times New Roman" w:cs="Times New Roman"/>
          <w:sz w:val="24"/>
        </w:rPr>
      </w:pPr>
    </w:p>
    <w:p w14:paraId="04C8F5F4" w14:textId="77777777" w:rsidR="002A2456" w:rsidRPr="002F6D06" w:rsidRDefault="002A2456" w:rsidP="002A2456">
      <w:pPr>
        <w:pStyle w:val="Listaszerbekezds"/>
        <w:numPr>
          <w:ilvl w:val="0"/>
          <w:numId w:val="1"/>
        </w:numPr>
        <w:spacing w:line="300" w:lineRule="exact"/>
        <w:rPr>
          <w:sz w:val="24"/>
        </w:rPr>
      </w:pPr>
      <w:r w:rsidRPr="002F6D06">
        <w:rPr>
          <w:sz w:val="24"/>
        </w:rPr>
        <w:t xml:space="preserve">A doktori képzés képzési és kutatási, valamint kutatási és disszertációs szakaszból áll </w:t>
      </w:r>
    </w:p>
    <w:p w14:paraId="2C904B56" w14:textId="77777777" w:rsidR="002A2456" w:rsidRPr="002F6D06" w:rsidRDefault="002A2456" w:rsidP="002A2456">
      <w:pPr>
        <w:pStyle w:val="Listaszerbekezds"/>
        <w:numPr>
          <w:ilvl w:val="0"/>
          <w:numId w:val="1"/>
        </w:numPr>
        <w:spacing w:line="300" w:lineRule="exact"/>
        <w:rPr>
          <w:sz w:val="24"/>
        </w:rPr>
      </w:pPr>
      <w:r w:rsidRPr="002F6D06">
        <w:rPr>
          <w:sz w:val="24"/>
        </w:rPr>
        <w:t xml:space="preserve">A doktori képzés során, a negyedik félév végén, a képzés képzési és kutatási szakaszának lezárásaként és a kutatási és disszertációs szakasz megkezdésének feltételeként komplex vizsgát kell teljesíteni. </w:t>
      </w:r>
    </w:p>
    <w:p w14:paraId="36A6F6D6" w14:textId="77777777" w:rsidR="002A2456" w:rsidRPr="002F6D06" w:rsidRDefault="002A2456" w:rsidP="002A2456">
      <w:pPr>
        <w:pStyle w:val="Listaszerbekezds"/>
        <w:numPr>
          <w:ilvl w:val="0"/>
          <w:numId w:val="1"/>
        </w:numPr>
        <w:spacing w:line="300" w:lineRule="exact"/>
        <w:rPr>
          <w:sz w:val="24"/>
        </w:rPr>
      </w:pPr>
      <w:r w:rsidRPr="002F6D06">
        <w:rPr>
          <w:sz w:val="24"/>
        </w:rPr>
        <w:t xml:space="preserve">A doktori képzés során a komplex vizsgát követően a fokozatszerzési eljárásban a hallgató (doktorandusz) a kutatási és disszertációs szakasz teljesítésével vesz részt. </w:t>
      </w:r>
    </w:p>
    <w:p w14:paraId="3E584C5B" w14:textId="77777777" w:rsidR="002A2456" w:rsidRPr="002F6D06" w:rsidRDefault="002A2456" w:rsidP="002A2456">
      <w:pPr>
        <w:pStyle w:val="Listaszerbekezds"/>
        <w:numPr>
          <w:ilvl w:val="0"/>
          <w:numId w:val="1"/>
        </w:numPr>
        <w:spacing w:line="300" w:lineRule="exact"/>
        <w:rPr>
          <w:sz w:val="24"/>
        </w:rPr>
      </w:pPr>
      <w:r w:rsidRPr="002F6D06">
        <w:rPr>
          <w:sz w:val="24"/>
        </w:rPr>
        <w:t xml:space="preserve">A doktori képzésben legalább 240 kreditet kell szerezni. Az a doktorandusz, aki tanulmányi kötelezettségeit teljesítette, a doktori képzésben az előírt krediteket megszerezte végbizonyítványt (abszolutórium) szerez. </w:t>
      </w:r>
    </w:p>
    <w:p w14:paraId="5C760604" w14:textId="77777777" w:rsidR="002A2456" w:rsidRPr="002F6D06" w:rsidRDefault="002A2456" w:rsidP="002A2456">
      <w:pPr>
        <w:pStyle w:val="Listaszerbekezds"/>
        <w:numPr>
          <w:ilvl w:val="0"/>
          <w:numId w:val="1"/>
        </w:numPr>
        <w:spacing w:line="300" w:lineRule="exact"/>
        <w:rPr>
          <w:sz w:val="24"/>
        </w:rPr>
      </w:pPr>
      <w:r w:rsidRPr="002F6D06">
        <w:rPr>
          <w:sz w:val="24"/>
        </w:rPr>
        <w:t>A szervezett képzés fő formája az előadásokból (és szükség esetén gyakorlatokból) álló kurzus. A kurzusokat a Honlapon nyilvánosan meg kell hirdetni, és az EDI minden hallgatója számára hozzáférhetővé kell tenni. A kurzuson végzett munka mennyisége tanulmányi kreditben mérhető.</w:t>
      </w:r>
    </w:p>
    <w:p w14:paraId="36D1A1D1" w14:textId="19B33BB4" w:rsidR="002A2456" w:rsidRDefault="002A2456" w:rsidP="002A2456">
      <w:pPr>
        <w:pStyle w:val="Listaszerbekezds"/>
        <w:numPr>
          <w:ilvl w:val="0"/>
          <w:numId w:val="1"/>
        </w:numPr>
        <w:spacing w:line="300" w:lineRule="exact"/>
        <w:rPr>
          <w:sz w:val="24"/>
        </w:rPr>
      </w:pPr>
      <w:r w:rsidRPr="002F6D06">
        <w:rPr>
          <w:sz w:val="24"/>
        </w:rPr>
        <w:t>A doktorandusznak a komplex vizsgát követően jelen sz</w:t>
      </w:r>
      <w:r w:rsidR="00B13013">
        <w:rPr>
          <w:sz w:val="24"/>
        </w:rPr>
        <w:t>abályzatban meghatározott időbe</w:t>
      </w:r>
      <w:r w:rsidRPr="002F6D06">
        <w:rPr>
          <w:sz w:val="24"/>
        </w:rPr>
        <w:t xml:space="preserve"> és módon doktori értekezést kell benyújtania.</w:t>
      </w:r>
    </w:p>
    <w:p w14:paraId="0C061713" w14:textId="77777777" w:rsidR="00B16214" w:rsidRDefault="00B16214" w:rsidP="00B16214">
      <w:pPr>
        <w:pStyle w:val="Listaszerbekezds"/>
        <w:spacing w:line="300" w:lineRule="exact"/>
        <w:rPr>
          <w:sz w:val="24"/>
        </w:rPr>
      </w:pPr>
    </w:p>
    <w:p w14:paraId="5E475A13" w14:textId="77777777" w:rsidR="00B16214" w:rsidRPr="00D07857" w:rsidRDefault="00B16214" w:rsidP="00B16214">
      <w:pPr>
        <w:pStyle w:val="Cmsor5"/>
      </w:pPr>
      <w:bookmarkStart w:id="3" w:name="_Toc33093865"/>
      <w:r>
        <w:t>12. § [</w:t>
      </w:r>
      <w:r w:rsidRPr="00D07857">
        <w:t>Hallgatói jogviszony létesítése, megszűnése, szünetelése</w:t>
      </w:r>
      <w:r>
        <w:t>]</w:t>
      </w:r>
      <w:bookmarkEnd w:id="3"/>
    </w:p>
    <w:p w14:paraId="72577AFE" w14:textId="77777777" w:rsidR="00B16214" w:rsidRPr="00D07857" w:rsidRDefault="00B16214" w:rsidP="00B16214">
      <w:pPr>
        <w:spacing w:line="300" w:lineRule="exact"/>
        <w:rPr>
          <w:sz w:val="24"/>
        </w:rPr>
      </w:pPr>
    </w:p>
    <w:p w14:paraId="2116584A" w14:textId="64F51601" w:rsidR="00B16214" w:rsidRDefault="00B16214" w:rsidP="00B16214">
      <w:pPr>
        <w:pStyle w:val="Listaszerbekezds"/>
        <w:numPr>
          <w:ilvl w:val="0"/>
          <w:numId w:val="11"/>
        </w:numPr>
        <w:spacing w:line="300" w:lineRule="exact"/>
        <w:rPr>
          <w:i/>
          <w:sz w:val="24"/>
        </w:rPr>
      </w:pPr>
      <w:r w:rsidRPr="00683C57">
        <w:rPr>
          <w:sz w:val="24"/>
        </w:rPr>
        <w:t xml:space="preserve">A szervezett képzésbe felvett hallgatók az Egyetemmel hallgatói jogviszonyba kerülnek, és rájuk az egyetemi szabályzatok rendelkezéseit értelemszerűen kell alkalmazni. A doktorandusz munkáját a DI Tanácsa által kijelölt témavezető felügyeli. </w:t>
      </w:r>
      <w:r w:rsidRPr="00683C57">
        <w:rPr>
          <w:sz w:val="24"/>
        </w:rPr>
        <w:lastRenderedPageBreak/>
        <w:t xml:space="preserve">Amennyiben a hallgató a fokozatszerzésre egyénileg készült fel, abban az esetben a hallgatói jogviszony a komplex vizsga teljesítésével jön létre. </w:t>
      </w:r>
      <w:r w:rsidRPr="00B16214">
        <w:rPr>
          <w:i/>
          <w:sz w:val="24"/>
        </w:rPr>
        <w:t xml:space="preserve">A doktori képzés 2016. szeptember 1. napját követően megkezdők tekintetében doktorjelölti jogviszony nem jön létre. </w:t>
      </w:r>
    </w:p>
    <w:p w14:paraId="295A19EE" w14:textId="77777777" w:rsidR="009D203F" w:rsidRDefault="009D203F" w:rsidP="009D203F">
      <w:pPr>
        <w:pStyle w:val="Listaszerbekezds"/>
        <w:spacing w:line="300" w:lineRule="exact"/>
        <w:rPr>
          <w:i/>
          <w:sz w:val="24"/>
        </w:rPr>
      </w:pPr>
    </w:p>
    <w:p w14:paraId="44EB833F" w14:textId="77777777" w:rsidR="009D203F" w:rsidRPr="00683C57" w:rsidRDefault="009D203F" w:rsidP="009D203F">
      <w:pPr>
        <w:pStyle w:val="Cmsor5"/>
      </w:pPr>
      <w:bookmarkStart w:id="4" w:name="_Toc33093872"/>
      <w:r w:rsidRPr="00683C57">
        <w:t>18. § [</w:t>
      </w:r>
      <w:r w:rsidRPr="00522AC2">
        <w:t>A doktori fokozatszerzés</w:t>
      </w:r>
      <w:r w:rsidRPr="00683C57">
        <w:t>]</w:t>
      </w:r>
      <w:bookmarkEnd w:id="4"/>
    </w:p>
    <w:p w14:paraId="1A16EC4B" w14:textId="77777777" w:rsidR="009D203F" w:rsidRPr="00D72D0C" w:rsidRDefault="009D203F" w:rsidP="009D203F">
      <w:pPr>
        <w:spacing w:line="300" w:lineRule="exact"/>
        <w:rPr>
          <w:b/>
          <w:sz w:val="24"/>
        </w:rPr>
      </w:pPr>
    </w:p>
    <w:p w14:paraId="7C73BC01" w14:textId="77777777" w:rsidR="009D203F" w:rsidRPr="00683C57" w:rsidRDefault="009D203F" w:rsidP="009D203F">
      <w:pPr>
        <w:pStyle w:val="Listaszerbekezds"/>
        <w:numPr>
          <w:ilvl w:val="0"/>
          <w:numId w:val="12"/>
        </w:numPr>
        <w:spacing w:line="300" w:lineRule="exact"/>
        <w:rPr>
          <w:sz w:val="24"/>
        </w:rPr>
      </w:pPr>
      <w:r w:rsidRPr="009D203F">
        <w:rPr>
          <w:b/>
          <w:i/>
          <w:sz w:val="24"/>
        </w:rPr>
        <w:t>A doktori fokozatszerzés a doktori képzés második, ún. kutatási és disszertációs szakasza, melynek feltétele a komplex vizsga teljesítése.</w:t>
      </w:r>
      <w:r w:rsidRPr="00683C57">
        <w:rPr>
          <w:sz w:val="24"/>
        </w:rPr>
        <w:t xml:space="preserve"> Doktori (PhD) fokozatot a Semmelweis Egyetemen szervezett képzésben való részvétellel, vagy kizárólag a kutatási és disszertációs szakaszban történő részvétellel (egyéni felkészülő) lehet szerezni.</w:t>
      </w:r>
    </w:p>
    <w:p w14:paraId="7F006C7E" w14:textId="77777777" w:rsidR="009D203F" w:rsidRPr="00D72D0C" w:rsidRDefault="009D203F" w:rsidP="009D203F">
      <w:pPr>
        <w:spacing w:line="300" w:lineRule="exact"/>
        <w:rPr>
          <w:sz w:val="24"/>
        </w:rPr>
      </w:pPr>
    </w:p>
    <w:p w14:paraId="4E4F20F9" w14:textId="77777777" w:rsidR="009D203F" w:rsidRPr="00683C57" w:rsidRDefault="009D203F" w:rsidP="009D203F">
      <w:pPr>
        <w:pStyle w:val="Listaszerbekezds"/>
        <w:numPr>
          <w:ilvl w:val="0"/>
          <w:numId w:val="12"/>
        </w:numPr>
        <w:spacing w:line="300" w:lineRule="exact"/>
        <w:rPr>
          <w:sz w:val="24"/>
        </w:rPr>
      </w:pPr>
      <w:r w:rsidRPr="00683C57">
        <w:rPr>
          <w:sz w:val="24"/>
        </w:rPr>
        <w:t xml:space="preserve">A fokozatszerzési eljárás, a doktori képzés második szakaszaként a komplex vizsgát követő félévre történő bejelentkezéssel kezdődik. A fokozatszerzési eljárásért a hallgató fokozatszerzési eljárási díjat köteles fizetni, melynek összegét az EDT határozza meg. A fokozatszerzési eljárás díját a fokozatszerzési eljárás végén, az abszolutórium megszerzését követően a disszertáció elbírálásának szakaszában kell megfizetni. Amennyiben az állami ösztöndíjas hallgató a doktori értekezést a hallgatói jogviszonyának fennállása alatt nyújtja be, a fokozatszerzési eljárási díj megfizetése alól mentességet élvez. </w:t>
      </w:r>
    </w:p>
    <w:p w14:paraId="4CB0CC65" w14:textId="77777777" w:rsidR="009D203F" w:rsidRPr="00D72D0C" w:rsidRDefault="009D203F" w:rsidP="009D203F">
      <w:pPr>
        <w:spacing w:line="300" w:lineRule="exact"/>
        <w:rPr>
          <w:sz w:val="24"/>
        </w:rPr>
      </w:pPr>
    </w:p>
    <w:p w14:paraId="359E13A9" w14:textId="77777777" w:rsidR="009D203F" w:rsidRPr="00683C57" w:rsidRDefault="009D203F" w:rsidP="009D203F">
      <w:pPr>
        <w:pStyle w:val="Listaszerbekezds"/>
        <w:numPr>
          <w:ilvl w:val="0"/>
          <w:numId w:val="12"/>
        </w:numPr>
        <w:spacing w:line="300" w:lineRule="exact"/>
        <w:rPr>
          <w:sz w:val="24"/>
        </w:rPr>
      </w:pPr>
      <w:r w:rsidRPr="00683C57">
        <w:rPr>
          <w:sz w:val="24"/>
        </w:rPr>
        <w:t xml:space="preserve">Az egyéni felkészülő a doktori képzésbe a komplex vizsga teljesítésével kapcsolódik be. A komplex vizsgára történő jelentkezés elfogadását az EDT felvételi vizsga sikeres teljesítéséhez köti.   </w:t>
      </w:r>
    </w:p>
    <w:p w14:paraId="0C65137D" w14:textId="77777777" w:rsidR="009D203F" w:rsidRPr="00D72D0C" w:rsidRDefault="009D203F" w:rsidP="009D203F">
      <w:pPr>
        <w:spacing w:line="300" w:lineRule="exact"/>
        <w:rPr>
          <w:sz w:val="24"/>
        </w:rPr>
      </w:pPr>
    </w:p>
    <w:p w14:paraId="1CA954C4" w14:textId="77777777" w:rsidR="009D203F" w:rsidRPr="00683C57" w:rsidRDefault="009D203F" w:rsidP="009D203F">
      <w:pPr>
        <w:pStyle w:val="Listaszerbekezds"/>
        <w:numPr>
          <w:ilvl w:val="0"/>
          <w:numId w:val="12"/>
        </w:numPr>
        <w:spacing w:line="300" w:lineRule="exact"/>
        <w:rPr>
          <w:sz w:val="24"/>
        </w:rPr>
      </w:pPr>
      <w:r w:rsidRPr="00683C57">
        <w:rPr>
          <w:sz w:val="24"/>
        </w:rPr>
        <w:t xml:space="preserve">A sikeres felvételi teljesítését követően az EDT elfogadja az egyéni felkészülő komplex vizsgára történő jelentkezését. A komplex vizsga sikeres teljesítésével az egyéni felkészülő önköltséges képzésben hallgatói jogviszonyba kerül. </w:t>
      </w:r>
    </w:p>
    <w:p w14:paraId="27259914" w14:textId="77777777" w:rsidR="009D203F" w:rsidRPr="00D72D0C" w:rsidRDefault="009D203F" w:rsidP="009D203F">
      <w:pPr>
        <w:spacing w:line="300" w:lineRule="exact"/>
        <w:rPr>
          <w:b/>
          <w:sz w:val="24"/>
        </w:rPr>
      </w:pPr>
    </w:p>
    <w:p w14:paraId="686E5EBE" w14:textId="77777777" w:rsidR="009D203F" w:rsidRPr="00683C57" w:rsidRDefault="009D203F" w:rsidP="009D203F">
      <w:pPr>
        <w:pStyle w:val="Listaszerbekezds"/>
        <w:numPr>
          <w:ilvl w:val="0"/>
          <w:numId w:val="12"/>
        </w:numPr>
        <w:spacing w:line="300" w:lineRule="exact"/>
        <w:rPr>
          <w:sz w:val="24"/>
        </w:rPr>
      </w:pPr>
      <w:r w:rsidRPr="00683C57">
        <w:rPr>
          <w:sz w:val="24"/>
        </w:rPr>
        <w:t>Az egyéni felkészülő a doktori képzés képzési és kutatási szakaszának tanulmányi kötelezettségei alól mentesül, az EDT a komplex vizsgára történő jelentkezés elfogadásával a tanterv szerinti tanulmányi és egyéb kreditpontok teljesítését elismeri.</w:t>
      </w:r>
    </w:p>
    <w:p w14:paraId="6D358DFD" w14:textId="77777777" w:rsidR="009D203F" w:rsidRPr="00D72D0C" w:rsidRDefault="009D203F" w:rsidP="009D203F">
      <w:pPr>
        <w:spacing w:line="300" w:lineRule="exact"/>
        <w:rPr>
          <w:sz w:val="24"/>
        </w:rPr>
      </w:pPr>
    </w:p>
    <w:p w14:paraId="3A95237D" w14:textId="77777777" w:rsidR="009D203F" w:rsidRPr="00683C57" w:rsidRDefault="009D203F" w:rsidP="009D203F">
      <w:pPr>
        <w:pStyle w:val="Listaszerbekezds"/>
        <w:numPr>
          <w:ilvl w:val="0"/>
          <w:numId w:val="12"/>
        </w:numPr>
        <w:spacing w:line="300" w:lineRule="exact"/>
        <w:rPr>
          <w:sz w:val="24"/>
        </w:rPr>
      </w:pPr>
      <w:r w:rsidRPr="00683C57">
        <w:rPr>
          <w:sz w:val="24"/>
        </w:rPr>
        <w:t>A kutatási és disszertációs szakasz időtartama 4 félév. A doktorandusznak a komplex vizsgát követő három éven belül a doktori értekezést kell benyújtania. A doktori értekezést a tanulmányi kötelezettségek teljesítése esetén, az EDT jóváhagyásával a nyolcadik félévet megelőzően is be lehet nyújtani.</w:t>
      </w:r>
    </w:p>
    <w:p w14:paraId="5E29E195" w14:textId="08FC10E8" w:rsidR="009D203F" w:rsidRDefault="009D203F" w:rsidP="009D203F">
      <w:pPr>
        <w:spacing w:line="300" w:lineRule="exact"/>
        <w:rPr>
          <w:i/>
          <w:sz w:val="24"/>
        </w:rPr>
      </w:pPr>
    </w:p>
    <w:p w14:paraId="49214DFA" w14:textId="77777777" w:rsidR="00FC3AE9" w:rsidRPr="009D203F" w:rsidRDefault="00FC3AE9" w:rsidP="009D203F">
      <w:pPr>
        <w:spacing w:line="300" w:lineRule="exact"/>
        <w:rPr>
          <w:i/>
          <w:sz w:val="24"/>
        </w:rPr>
      </w:pPr>
    </w:p>
    <w:p w14:paraId="54509496" w14:textId="77777777" w:rsidR="00B16214" w:rsidRPr="00B16214" w:rsidRDefault="00B16214" w:rsidP="00B16214">
      <w:pPr>
        <w:spacing w:line="300" w:lineRule="exact"/>
        <w:ind w:left="360"/>
        <w:rPr>
          <w:sz w:val="24"/>
        </w:rPr>
      </w:pPr>
    </w:p>
    <w:p w14:paraId="2339AB04" w14:textId="77777777" w:rsidR="002A2456" w:rsidRPr="002F6D06" w:rsidRDefault="002A2456" w:rsidP="002A2456">
      <w:pPr>
        <w:spacing w:line="300" w:lineRule="exact"/>
        <w:rPr>
          <w:rFonts w:ascii="Times New Roman" w:hAnsi="Times New Roman" w:cs="Times New Roman"/>
          <w:sz w:val="24"/>
        </w:rPr>
      </w:pPr>
      <w:r w:rsidRPr="002F6D06">
        <w:rPr>
          <w:rFonts w:ascii="Times New Roman" w:hAnsi="Times New Roman" w:cs="Times New Roman"/>
          <w:sz w:val="24"/>
        </w:rPr>
        <w:lastRenderedPageBreak/>
        <w:t xml:space="preserve"> </w:t>
      </w:r>
    </w:p>
    <w:p w14:paraId="766274FE" w14:textId="77777777" w:rsidR="002A2456" w:rsidRPr="002F6D06" w:rsidRDefault="002A2456" w:rsidP="002A2456">
      <w:pPr>
        <w:pStyle w:val="Cmsor5"/>
      </w:pPr>
      <w:bookmarkStart w:id="5" w:name="_Toc33093860"/>
      <w:r w:rsidRPr="002F6D06">
        <w:t>7. § [Tanulmányi kredit]</w:t>
      </w:r>
      <w:bookmarkEnd w:id="5"/>
    </w:p>
    <w:p w14:paraId="3A2F2B7C" w14:textId="77777777" w:rsidR="002A2456" w:rsidRPr="002F6D06" w:rsidRDefault="002A2456" w:rsidP="002A2456">
      <w:pPr>
        <w:spacing w:line="300" w:lineRule="exact"/>
        <w:rPr>
          <w:rFonts w:ascii="Times New Roman" w:hAnsi="Times New Roman" w:cs="Times New Roman"/>
          <w:sz w:val="24"/>
        </w:rPr>
      </w:pPr>
    </w:p>
    <w:p w14:paraId="3EA40D96" w14:textId="77777777" w:rsidR="002A2456" w:rsidRPr="002F6D06" w:rsidRDefault="002A2456" w:rsidP="002A2456">
      <w:pPr>
        <w:pStyle w:val="Listaszerbekezds"/>
        <w:numPr>
          <w:ilvl w:val="0"/>
          <w:numId w:val="3"/>
        </w:numPr>
        <w:spacing w:line="300" w:lineRule="exact"/>
        <w:rPr>
          <w:sz w:val="24"/>
        </w:rPr>
      </w:pPr>
      <w:r w:rsidRPr="002F6D06">
        <w:rPr>
          <w:sz w:val="24"/>
        </w:rPr>
        <w:t>A tanulmányi követelmények mértéke a tanegység (tanulmányi kreditpont). Egy tanulmányi – kurzusok esetében adott – tanegység 14 tanórás előadási és/vagy gyakorlati anyagával egyenértékű, számon kért és értékelt teljesítmény. A kurzusokat lehet tömbösítve, egy szemeszteren belül, vagy szemesztereket átívelően szervezni</w:t>
      </w:r>
      <w:r w:rsidRPr="002F6D06">
        <w:rPr>
          <w:b/>
          <w:sz w:val="24"/>
        </w:rPr>
        <w:t xml:space="preserve">. </w:t>
      </w:r>
      <w:r w:rsidRPr="002F6D06">
        <w:rPr>
          <w:bCs/>
          <w:sz w:val="24"/>
        </w:rPr>
        <w:t xml:space="preserve">Egy kreditet két 7 órás kurzus elvégzésével is el lehet ismerni. </w:t>
      </w:r>
      <w:r w:rsidRPr="002F6D06">
        <w:rPr>
          <w:sz w:val="24"/>
        </w:rPr>
        <w:t>A kreditet abban a szemeszterben kell elismerni, amelyben a vizsgát teljesítették.</w:t>
      </w:r>
    </w:p>
    <w:p w14:paraId="36AA0FA8" w14:textId="77777777" w:rsidR="002A2456" w:rsidRPr="002F6D06" w:rsidRDefault="002A2456" w:rsidP="002A2456">
      <w:pPr>
        <w:spacing w:line="300" w:lineRule="exact"/>
        <w:rPr>
          <w:rFonts w:ascii="Times New Roman" w:hAnsi="Times New Roman" w:cs="Times New Roman"/>
          <w:sz w:val="24"/>
        </w:rPr>
      </w:pPr>
    </w:p>
    <w:p w14:paraId="3527638B" w14:textId="77777777" w:rsidR="002A2456" w:rsidRPr="002F6D06" w:rsidRDefault="002A2456" w:rsidP="002A2456">
      <w:pPr>
        <w:pStyle w:val="Listaszerbekezds"/>
        <w:numPr>
          <w:ilvl w:val="0"/>
          <w:numId w:val="3"/>
        </w:numPr>
        <w:spacing w:line="300" w:lineRule="exact"/>
        <w:rPr>
          <w:sz w:val="24"/>
        </w:rPr>
      </w:pPr>
      <w:r w:rsidRPr="002F6D06">
        <w:rPr>
          <w:sz w:val="24"/>
        </w:rPr>
        <w:t>A doktori képzésben a tanulmányi kreditpontokat a kurzusként felvett tárgyak sikeres elvégzése után lehet megszerezni. A minősítés háromfokozatú skála („nem felelt meg”, „megfelelt”, „kiválóan megfelelt”) szerint történik. A kreditpontok jóváírásának feltétele a „megfelelt” vagy annál jobb vizsgajegy. Az elérhető kreditpontok számát a kurzus meghirdetésekor vagy a kurzus felvétele előtt közölni kell. A kurzust lezáró vizsgán (vagy más értékelés során) megszerzett érdemjegy (ha „megfelelt”vagy annál jobb) a megszerezhető kreditpontok számát nem befolyásolhatja.</w:t>
      </w:r>
    </w:p>
    <w:p w14:paraId="43229839" w14:textId="77777777" w:rsidR="002A2456" w:rsidRPr="002F6D06" w:rsidRDefault="002A2456" w:rsidP="002A2456">
      <w:pPr>
        <w:pStyle w:val="Listaszerbekezds"/>
        <w:rPr>
          <w:sz w:val="24"/>
        </w:rPr>
      </w:pPr>
    </w:p>
    <w:p w14:paraId="21369C8C" w14:textId="77777777" w:rsidR="002A2456" w:rsidRPr="002F6D06" w:rsidRDefault="002A2456" w:rsidP="002A2456">
      <w:pPr>
        <w:pStyle w:val="Listaszerbekezds"/>
        <w:spacing w:line="300" w:lineRule="exact"/>
        <w:rPr>
          <w:sz w:val="24"/>
        </w:rPr>
      </w:pPr>
    </w:p>
    <w:p w14:paraId="47207888" w14:textId="77777777" w:rsidR="002A2456" w:rsidRPr="002F6D06" w:rsidRDefault="002A2456" w:rsidP="002A2456">
      <w:pPr>
        <w:pStyle w:val="Listaszerbekezds"/>
        <w:numPr>
          <w:ilvl w:val="0"/>
          <w:numId w:val="3"/>
        </w:numPr>
        <w:spacing w:line="300" w:lineRule="exact"/>
        <w:rPr>
          <w:b/>
          <w:bCs/>
          <w:sz w:val="24"/>
        </w:rPr>
      </w:pPr>
      <w:r w:rsidRPr="002F6D06">
        <w:rPr>
          <w:sz w:val="24"/>
        </w:rPr>
        <w:t>Be kell jelenteni azokat a tanulmányi teljesítményeket (hazai vagy külföldi tanfolyamokon, előadássorozatokon, más egyetemen szervezett kurzusokon való részvétel, stb.), amelyekért a bejelentő tanulmányi kreditpontérték beszámítását kéri. A kérelmet elektronikus formában a Doktori Hivatalba kell eljuttatni. Ebben az esetben szükséges mellékelni a témavezetőjének támogató nyilatkozatát, valamint mindazon a dokumentumokat, amelyek leírják a tanulmányi teljesítményt, bizonyítják a részvételt, a vizsga/számonkérés megtörténtét és eredményét.</w:t>
      </w:r>
    </w:p>
    <w:p w14:paraId="43BCD2CC" w14:textId="77777777" w:rsidR="002A2456" w:rsidRPr="002F6D06" w:rsidRDefault="002A2456" w:rsidP="002A2456">
      <w:pPr>
        <w:spacing w:line="300" w:lineRule="exact"/>
        <w:rPr>
          <w:rFonts w:ascii="Times New Roman" w:hAnsi="Times New Roman" w:cs="Times New Roman"/>
          <w:sz w:val="24"/>
        </w:rPr>
      </w:pPr>
    </w:p>
    <w:p w14:paraId="3DEFAA56" w14:textId="77777777" w:rsidR="002A2456" w:rsidRPr="002F6D06" w:rsidRDefault="002A2456" w:rsidP="002A2456">
      <w:pPr>
        <w:pStyle w:val="Listaszerbekezds"/>
        <w:numPr>
          <w:ilvl w:val="0"/>
          <w:numId w:val="3"/>
        </w:numPr>
        <w:spacing w:line="300" w:lineRule="exact"/>
        <w:rPr>
          <w:sz w:val="24"/>
        </w:rPr>
      </w:pPr>
      <w:r w:rsidRPr="002F6D06">
        <w:rPr>
          <w:sz w:val="24"/>
        </w:rPr>
        <w:t>A kurzusokat és a megszerezhető tanulmányi kreditet az OKB hagyja jóvá és a kreditbeszámításról a Doktori Hivatal értesíti a hallgatót.. A kurzus hosszától függetlenül az egy kurzussal elérhető tanulmányi kreditpont száma legfeljebb 4 lehet. Nem egyetem által szervezett kurzuson vagy más tanulmányi eseményen szerzett tanulmányi kreditpont száma legfeljebb 2 lehet. Nyelvtanulási foglalkozással (ideértve a szakmai nyelvi képzést is) tanegységet szerezni nem lehet.</w:t>
      </w:r>
    </w:p>
    <w:p w14:paraId="2E6670FF" w14:textId="77777777" w:rsidR="002A2456" w:rsidRPr="002F6D06" w:rsidRDefault="002A2456" w:rsidP="002A2456">
      <w:pPr>
        <w:spacing w:line="300" w:lineRule="exact"/>
        <w:rPr>
          <w:rFonts w:ascii="Times New Roman" w:hAnsi="Times New Roman" w:cs="Times New Roman"/>
          <w:sz w:val="24"/>
        </w:rPr>
      </w:pPr>
    </w:p>
    <w:p w14:paraId="2B09B29E" w14:textId="77777777" w:rsidR="002A2456" w:rsidRPr="002F6D06" w:rsidRDefault="002A2456" w:rsidP="002A2456">
      <w:pPr>
        <w:pStyle w:val="Listaszerbekezds"/>
        <w:numPr>
          <w:ilvl w:val="0"/>
          <w:numId w:val="3"/>
        </w:numPr>
        <w:spacing w:line="300" w:lineRule="exact"/>
        <w:rPr>
          <w:bCs/>
          <w:sz w:val="24"/>
        </w:rPr>
      </w:pPr>
      <w:r w:rsidRPr="002F6D06">
        <w:rPr>
          <w:bCs/>
          <w:sz w:val="24"/>
        </w:rPr>
        <w:t xml:space="preserve">Vizsga nélkül lehet kredittel értékelni azt a tantermi előadást és/vagy gyakorlatot, amely saját vagy más egyetem tanrendjében szerepel, amennyiben annak elvégzését a hallgató témavezetője előírja, a tantárgy felelőse igazolja a foglalkozásokon megjelenést és azt, hogy vizsga nem volt szervezhető. A hallgató vizsga nélküli foglalkozás látogatásáért 30 óránként legfeljebb 1 kreditet, a teljes képzési idő alatt összesen legfeljebb 2 kreditet kaphat. </w:t>
      </w:r>
    </w:p>
    <w:p w14:paraId="2E1611EB" w14:textId="77777777" w:rsidR="002A2456" w:rsidRPr="002F6D06" w:rsidRDefault="002A2456" w:rsidP="002A2456">
      <w:pPr>
        <w:spacing w:line="300" w:lineRule="exact"/>
        <w:rPr>
          <w:rFonts w:ascii="Times New Roman" w:hAnsi="Times New Roman" w:cs="Times New Roman"/>
          <w:sz w:val="24"/>
        </w:rPr>
      </w:pPr>
    </w:p>
    <w:p w14:paraId="1FBA38E4" w14:textId="77777777" w:rsidR="002A2456" w:rsidRPr="002F6D06" w:rsidRDefault="002A2456" w:rsidP="002A2456">
      <w:pPr>
        <w:pStyle w:val="Listaszerbekezds"/>
        <w:numPr>
          <w:ilvl w:val="0"/>
          <w:numId w:val="3"/>
        </w:numPr>
        <w:spacing w:line="300" w:lineRule="exact"/>
        <w:rPr>
          <w:sz w:val="24"/>
        </w:rPr>
      </w:pPr>
      <w:r w:rsidRPr="002F6D06">
        <w:rPr>
          <w:sz w:val="24"/>
        </w:rPr>
        <w:t xml:space="preserve">Amennyiben ugyanazzal a tematikával kerül meghirdetésre graduális és PhD kurzus, úgy a kurzusvezetőnek egyértelműen meg kell határoznia a graduális és a PhD kurzus </w:t>
      </w:r>
      <w:r w:rsidRPr="002F6D06">
        <w:rPr>
          <w:sz w:val="24"/>
        </w:rPr>
        <w:lastRenderedPageBreak/>
        <w:t>teljesítésére vonatkozó tanulmányi- és vizsgakövetelmények közötti különbséget a PhD kurzus adatlapján. Ebben az esetben a doktori képzés megkezdése előtt elvégzett kurzusokért csak akkor adható kreditpont,ha a hallgató a PhD kurzusnak megfelelő vizsgakövetelményeket teljesítette és erről benyújtja a kurzusvezető igazolását</w:t>
      </w:r>
    </w:p>
    <w:p w14:paraId="46255879" w14:textId="77777777" w:rsidR="002A2456" w:rsidRPr="002F6D06" w:rsidRDefault="002A2456" w:rsidP="002A2456">
      <w:pPr>
        <w:spacing w:line="300" w:lineRule="exact"/>
        <w:rPr>
          <w:rFonts w:ascii="Times New Roman" w:hAnsi="Times New Roman" w:cs="Times New Roman"/>
          <w:sz w:val="24"/>
        </w:rPr>
      </w:pPr>
    </w:p>
    <w:p w14:paraId="21BFE50A" w14:textId="77777777" w:rsidR="002A2456" w:rsidRPr="002F6D06" w:rsidRDefault="002A2456" w:rsidP="002A2456">
      <w:pPr>
        <w:pStyle w:val="Listaszerbekezds"/>
        <w:numPr>
          <w:ilvl w:val="0"/>
          <w:numId w:val="3"/>
        </w:numPr>
        <w:spacing w:line="300" w:lineRule="exact"/>
        <w:rPr>
          <w:sz w:val="24"/>
        </w:rPr>
      </w:pPr>
      <w:r w:rsidRPr="002F6D06">
        <w:rPr>
          <w:sz w:val="24"/>
        </w:rPr>
        <w:t>Egy félévben heti egy kontaktóra hallgatásával és sikeres vizsgával 1 (sok egyéni tanulási feladattal, legalább 45 óra ráfordítási igényű kurzusnál 2) kreditpont szerezhető.</w:t>
      </w:r>
    </w:p>
    <w:p w14:paraId="59C26442" w14:textId="77777777" w:rsidR="002A2456" w:rsidRPr="002F6D06" w:rsidRDefault="002A2456" w:rsidP="002A2456">
      <w:pPr>
        <w:spacing w:line="300" w:lineRule="exact"/>
        <w:rPr>
          <w:rFonts w:ascii="Times New Roman" w:hAnsi="Times New Roman" w:cs="Times New Roman"/>
          <w:sz w:val="24"/>
        </w:rPr>
      </w:pPr>
    </w:p>
    <w:p w14:paraId="118D1797" w14:textId="77777777" w:rsidR="002A2456" w:rsidRPr="002F6D06" w:rsidRDefault="002A2456" w:rsidP="002A2456">
      <w:pPr>
        <w:pStyle w:val="Listaszerbekezds"/>
        <w:numPr>
          <w:ilvl w:val="0"/>
          <w:numId w:val="3"/>
        </w:numPr>
        <w:spacing w:line="300" w:lineRule="exact"/>
        <w:rPr>
          <w:sz w:val="24"/>
        </w:rPr>
      </w:pPr>
      <w:r w:rsidRPr="002F6D06">
        <w:rPr>
          <w:sz w:val="24"/>
        </w:rPr>
        <w:t xml:space="preserve">A felvett, de sikertelenül (kreditpont-szerzés nélkül) elvégzett kurzusok </w:t>
      </w:r>
      <w:r w:rsidRPr="002F6D06">
        <w:rPr>
          <w:bCs/>
          <w:sz w:val="24"/>
        </w:rPr>
        <w:t>eredménytelennek minősítendők</w:t>
      </w:r>
      <w:r w:rsidRPr="002F6D06">
        <w:rPr>
          <w:sz w:val="24"/>
        </w:rPr>
        <w:t>.</w:t>
      </w:r>
    </w:p>
    <w:p w14:paraId="6CCEA6A3" w14:textId="77777777" w:rsidR="002A2456" w:rsidRPr="002F6D06" w:rsidRDefault="002A2456" w:rsidP="002A2456">
      <w:pPr>
        <w:spacing w:line="300" w:lineRule="exact"/>
        <w:rPr>
          <w:rFonts w:ascii="Times New Roman" w:hAnsi="Times New Roman" w:cs="Times New Roman"/>
          <w:b/>
          <w:sz w:val="24"/>
        </w:rPr>
      </w:pPr>
    </w:p>
    <w:p w14:paraId="4EDBB08D" w14:textId="77777777" w:rsidR="002A2456" w:rsidRPr="002F6D06" w:rsidRDefault="002A2456" w:rsidP="002A2456">
      <w:pPr>
        <w:pStyle w:val="Listaszerbekezds"/>
        <w:numPr>
          <w:ilvl w:val="0"/>
          <w:numId w:val="3"/>
        </w:numPr>
        <w:spacing w:line="300" w:lineRule="exact"/>
        <w:rPr>
          <w:sz w:val="24"/>
        </w:rPr>
      </w:pPr>
      <w:r w:rsidRPr="002F6D06">
        <w:rPr>
          <w:sz w:val="24"/>
        </w:rPr>
        <w:t xml:space="preserve">A tanulmányi kreditek legfeljebb 25%-át (4 kreditpont) a hallgató más egyetemen is felveheti (áthallgatás). Az ilyen módon szerzett kreditszám meghatározása és a kreditek elismeréséről az OKB dönt. </w:t>
      </w:r>
    </w:p>
    <w:p w14:paraId="6FB1787A" w14:textId="6564D096" w:rsidR="002A2456" w:rsidRPr="00B16214" w:rsidRDefault="002A2456" w:rsidP="00B16214">
      <w:pPr>
        <w:spacing w:line="300" w:lineRule="exact"/>
        <w:rPr>
          <w:sz w:val="24"/>
        </w:rPr>
      </w:pPr>
    </w:p>
    <w:p w14:paraId="0667E313" w14:textId="77777777" w:rsidR="002A2456" w:rsidRPr="002F6D06" w:rsidRDefault="002A2456" w:rsidP="002A2456">
      <w:pPr>
        <w:pStyle w:val="Listaszerbekezds"/>
        <w:numPr>
          <w:ilvl w:val="0"/>
          <w:numId w:val="3"/>
        </w:numPr>
        <w:spacing w:line="300" w:lineRule="exact"/>
        <w:rPr>
          <w:sz w:val="24"/>
        </w:rPr>
      </w:pPr>
      <w:r w:rsidRPr="002F6D06">
        <w:rPr>
          <w:sz w:val="24"/>
        </w:rPr>
        <w:t>Kivételes esetben elfogadható előzetes és a doktori képzés keretein kívül, de a doktori programba illeszkedő tanulmányi teljesítmény (képzés megkezdése előtt sikeresen teljesített kurzus, rezidensképzés során eredményesen elvégzett tanfolyam, képzésbe előre befogadott és vizsgával elismert konferencia részvétel, stb.) kredittel történő beszámítása is.  Az ilyen módon beszámított kreditek és az áthallgatással megszerzett kreditek együttes értéke nem haladhatja meg a 38%-ot (6 kreditpont). Egyetemközi szerződés keretében végzett közös képzés esetében a külföldön elvégzett kurzusokkal általában a tanulmányi kreditek legfeljebb 50%-a szerezhető meg. Ettől csak kivételes esetben az EDT elnök engedélye esetén lehet eltérni. A hallgatók számára – amennyiben felkészültségük szükségessé teszi – a témavezető javaslatára, a programvezető és a DI elnök jóváhagyásával kötelezővé tehető 4 kredit pontnak megfelelő óraszámban alapozó, felzárkóztató kurzusok elvégzése tanulmányaik első másfél éve alatt. A felzárkóztató kurzusok pontszáma nem számítható be a kötelező 16 tanulmányi kredit pontba.</w:t>
      </w:r>
    </w:p>
    <w:p w14:paraId="5A7F0207" w14:textId="77777777" w:rsidR="002A2456" w:rsidRPr="002F6D06" w:rsidRDefault="002A2456" w:rsidP="002A2456">
      <w:pPr>
        <w:spacing w:line="300" w:lineRule="exact"/>
        <w:rPr>
          <w:rFonts w:ascii="Times New Roman" w:hAnsi="Times New Roman" w:cs="Times New Roman"/>
          <w:sz w:val="24"/>
        </w:rPr>
      </w:pPr>
    </w:p>
    <w:p w14:paraId="557DB43D" w14:textId="77777777" w:rsidR="002A2456" w:rsidRPr="002F6D06" w:rsidRDefault="002A2456" w:rsidP="002A2456">
      <w:pPr>
        <w:pStyle w:val="Cmsor5"/>
      </w:pPr>
      <w:bookmarkStart w:id="6" w:name="_Toc33093861"/>
      <w:r w:rsidRPr="002F6D06">
        <w:t>8. § [Kutatási kredit]</w:t>
      </w:r>
      <w:bookmarkEnd w:id="6"/>
    </w:p>
    <w:p w14:paraId="52785F00" w14:textId="77777777" w:rsidR="002A2456" w:rsidRPr="002F6D06" w:rsidRDefault="002A2456" w:rsidP="002A2456">
      <w:pPr>
        <w:spacing w:line="300" w:lineRule="exact"/>
        <w:rPr>
          <w:rFonts w:ascii="Times New Roman" w:hAnsi="Times New Roman" w:cs="Times New Roman"/>
          <w:sz w:val="24"/>
        </w:rPr>
      </w:pPr>
    </w:p>
    <w:p w14:paraId="6EE170D8" w14:textId="77777777" w:rsidR="002A2456" w:rsidRPr="002F6D06" w:rsidRDefault="002A2456" w:rsidP="002A2456">
      <w:pPr>
        <w:pStyle w:val="Listaszerbekezds"/>
        <w:numPr>
          <w:ilvl w:val="0"/>
          <w:numId w:val="4"/>
        </w:numPr>
        <w:spacing w:line="300" w:lineRule="exact"/>
        <w:rPr>
          <w:sz w:val="24"/>
        </w:rPr>
      </w:pPr>
      <w:r w:rsidRPr="002F6D06">
        <w:rPr>
          <w:sz w:val="24"/>
        </w:rPr>
        <w:t>A kutatási krediteket a hallgató, mint kutató, felügyelet mellett végzett kutatómunkával szerezheti meg. A kreditek teljesítését a kutatási terv figyelembevételével az indexben a témavezető három- vagy öt fokozatú skála szerint értékeli és igazolja. Az adott félévben a kutatási kreditek indokolt (lehetséges) számát a két másik kreditszerzés alapján (30-ra történő kiegészítéssel) kell számolni.</w:t>
      </w:r>
    </w:p>
    <w:p w14:paraId="59B2F33F" w14:textId="77777777" w:rsidR="002A2456" w:rsidRPr="002F6D06" w:rsidRDefault="002A2456" w:rsidP="002A2456">
      <w:pPr>
        <w:spacing w:line="300" w:lineRule="exact"/>
        <w:rPr>
          <w:rFonts w:ascii="Times New Roman" w:hAnsi="Times New Roman" w:cs="Times New Roman"/>
          <w:sz w:val="24"/>
        </w:rPr>
      </w:pPr>
    </w:p>
    <w:p w14:paraId="412A9D91" w14:textId="77777777" w:rsidR="002A2456" w:rsidRPr="002F6D06" w:rsidRDefault="002A2456" w:rsidP="002A2456">
      <w:pPr>
        <w:pStyle w:val="Listaszerbekezds"/>
        <w:numPr>
          <w:ilvl w:val="0"/>
          <w:numId w:val="4"/>
        </w:numPr>
        <w:spacing w:line="300" w:lineRule="exact"/>
        <w:rPr>
          <w:sz w:val="24"/>
        </w:rPr>
      </w:pPr>
      <w:r w:rsidRPr="002F6D06">
        <w:rPr>
          <w:sz w:val="24"/>
        </w:rPr>
        <w:t xml:space="preserve">A témavezető az adott szemeszterben akkor kezdeményezheti a tanulmányi és oktatási kreditek 30-ra történő kiegészítésének megtagadását, ha az adott szemeszter kezdetét követő 60 napon belül a doktorandusznak, a programvezetőnek és a DI vezetőjének írásban jelezte a doktoranduszi kutatómunka hiányosságait és a doktorandusz ezt követően sem tesz eleget a kutatási követelményeknek. A döntést a DI vezetője hozza </w:t>
      </w:r>
      <w:r w:rsidRPr="002F6D06">
        <w:rPr>
          <w:sz w:val="24"/>
        </w:rPr>
        <w:lastRenderedPageBreak/>
        <w:t xml:space="preserve">meg. A megszerzett tanulmányi és oktatási krediteket a témavezető vagy kiegészíti 30-ra, vagy egyetlen kutatási kreditpontot sem ad meg. Adott félévre vonatkoztatva tehát a „minden vagy semmi törvénye” érvényesül, és nincs mód arra, hogy valaki a kutatási krediteknek mindössze egy részét szerezze meg. </w:t>
      </w:r>
    </w:p>
    <w:p w14:paraId="1AEB89D0" w14:textId="77777777" w:rsidR="002A2456" w:rsidRPr="002F6D06" w:rsidRDefault="002A2456" w:rsidP="002A2456">
      <w:pPr>
        <w:spacing w:line="300" w:lineRule="exact"/>
        <w:rPr>
          <w:rFonts w:ascii="Times New Roman" w:hAnsi="Times New Roman" w:cs="Times New Roman"/>
          <w:sz w:val="24"/>
        </w:rPr>
      </w:pPr>
    </w:p>
    <w:p w14:paraId="5912A4A3" w14:textId="77777777" w:rsidR="002A2456" w:rsidRPr="002F6D06" w:rsidRDefault="002A2456" w:rsidP="002A2456">
      <w:pPr>
        <w:pStyle w:val="Cmsor5"/>
      </w:pPr>
      <w:bookmarkStart w:id="7" w:name="_Toc33093862"/>
      <w:r w:rsidRPr="002F6D06">
        <w:t>9. § [Oktatási kredit]</w:t>
      </w:r>
      <w:bookmarkEnd w:id="7"/>
    </w:p>
    <w:p w14:paraId="3B42E445" w14:textId="77777777" w:rsidR="002A2456" w:rsidRPr="002F6D06" w:rsidRDefault="002A2456" w:rsidP="002A2456">
      <w:pPr>
        <w:spacing w:line="300" w:lineRule="exact"/>
        <w:rPr>
          <w:rFonts w:ascii="Times New Roman" w:hAnsi="Times New Roman" w:cs="Times New Roman"/>
          <w:i/>
          <w:sz w:val="24"/>
        </w:rPr>
      </w:pPr>
    </w:p>
    <w:p w14:paraId="103C09DB" w14:textId="77777777" w:rsidR="002A2456" w:rsidRPr="002F6D06" w:rsidRDefault="002A2456" w:rsidP="002A2456">
      <w:pPr>
        <w:pStyle w:val="Listaszerbekezds"/>
        <w:numPr>
          <w:ilvl w:val="0"/>
          <w:numId w:val="5"/>
        </w:numPr>
        <w:spacing w:line="300" w:lineRule="exact"/>
        <w:rPr>
          <w:sz w:val="24"/>
        </w:rPr>
      </w:pPr>
      <w:r w:rsidRPr="002F6D06">
        <w:rPr>
          <w:sz w:val="24"/>
        </w:rPr>
        <w:t>A doktorandusz oktató munkájával szerezhet oktatási krediteket. A doktorandusz szakmai fejlődése szempontjából a józan mértékű oktatási feladat (önállóan vagy tapasztalt oktatóval együtt vezetett gyakorlat, szeminárium) hasznos. A doktorandusz által megtartható órák száma átlagosan nem haladhatja meg a heti 6 kontakt órát. Egy kontaktóra/hét oktatási tevékenységgel számolva 1 oktatási kredit szerezhető, vagyis szemeszterenként maximális oktatási teljesítmény esetén legfeljebb 6 kredit gyűjthető. Az oktatási kreditek száma a teljes képzési ciklus alatt nem lehet több 45-nél. Az oktatási krediteket szerepeltetni kell az indexben. A teljesítés igazolója a tanszékvezető (programvezető vagy DI vezető).</w:t>
      </w:r>
    </w:p>
    <w:p w14:paraId="6A52C16A" w14:textId="77777777" w:rsidR="002A2456" w:rsidRPr="002F6D06" w:rsidRDefault="002A2456" w:rsidP="002A2456">
      <w:pPr>
        <w:spacing w:line="300" w:lineRule="exact"/>
        <w:rPr>
          <w:rFonts w:ascii="Times New Roman" w:hAnsi="Times New Roman" w:cs="Times New Roman"/>
          <w:sz w:val="24"/>
        </w:rPr>
      </w:pPr>
    </w:p>
    <w:p w14:paraId="03D2FBD1" w14:textId="77777777" w:rsidR="002A2456" w:rsidRPr="002F6D06" w:rsidRDefault="002A2456" w:rsidP="002A2456">
      <w:pPr>
        <w:pStyle w:val="Listaszerbekezds"/>
        <w:numPr>
          <w:ilvl w:val="0"/>
          <w:numId w:val="5"/>
        </w:numPr>
        <w:spacing w:line="300" w:lineRule="exact"/>
        <w:rPr>
          <w:sz w:val="24"/>
        </w:rPr>
      </w:pPr>
      <w:r w:rsidRPr="002F6D06">
        <w:rPr>
          <w:sz w:val="24"/>
        </w:rPr>
        <w:t xml:space="preserve">Az oktatásra a hallgatóval minden szemeszter elején doktorandusz-szerződést kell kötni. Az illetékes tanszékvezető által igazolt munka ideje - egy tanulmányi félév átlagában - nem haladhatja meg a heti teljes munkaidő 33 százalékát. A szerződés alapján hallgatói munkadíj kerül kifizetésre, melynek havi összege, a teljes munkaidő 33 százalékának megfelelő idejű foglalkoztatás esetén, nem lehet kevesebb, mint a legkisebb kötelező munkabér (minimálbér) 33 százaléka, eltérő idejű foglalkoztatás esetén ennek időarányos része. </w:t>
      </w:r>
    </w:p>
    <w:p w14:paraId="50134183" w14:textId="77777777" w:rsidR="002A2456" w:rsidRPr="002F6D06" w:rsidRDefault="002A2456" w:rsidP="002A2456">
      <w:pPr>
        <w:spacing w:line="300" w:lineRule="exact"/>
        <w:rPr>
          <w:rFonts w:ascii="Times New Roman" w:hAnsi="Times New Roman" w:cs="Times New Roman"/>
          <w:sz w:val="24"/>
        </w:rPr>
      </w:pPr>
    </w:p>
    <w:p w14:paraId="0DC52E76" w14:textId="77777777" w:rsidR="002A2456" w:rsidRPr="002F6D06" w:rsidRDefault="002A2456" w:rsidP="002A2456">
      <w:pPr>
        <w:pStyle w:val="Listaszerbekezds"/>
        <w:numPr>
          <w:ilvl w:val="0"/>
          <w:numId w:val="5"/>
        </w:numPr>
        <w:spacing w:line="300" w:lineRule="exact"/>
        <w:rPr>
          <w:sz w:val="24"/>
        </w:rPr>
      </w:pPr>
      <w:r w:rsidRPr="002F6D06">
        <w:rPr>
          <w:sz w:val="24"/>
        </w:rPr>
        <w:t>Az oktatási munka kreditálása nem helyettesítheti a jogszabály szerint kötelező oktatói óradíj megfizetését. A hallgató munkaidő-beosztását oly módon kell meghatározni, hogy vizsgázási és a vizsgára történő felkészülési kötelezettségeinek eleget tudjon tenni.</w:t>
      </w:r>
    </w:p>
    <w:p w14:paraId="60941F9C" w14:textId="77777777" w:rsidR="002A2456" w:rsidRPr="002F6D06" w:rsidRDefault="002A2456" w:rsidP="002A2456">
      <w:pPr>
        <w:spacing w:line="300" w:lineRule="exact"/>
        <w:rPr>
          <w:rFonts w:ascii="Times New Roman" w:hAnsi="Times New Roman" w:cs="Times New Roman"/>
          <w:sz w:val="24"/>
        </w:rPr>
      </w:pPr>
    </w:p>
    <w:p w14:paraId="2D8D8D19" w14:textId="77777777" w:rsidR="002A2456" w:rsidRPr="002F6D06" w:rsidRDefault="002A2456" w:rsidP="002A2456">
      <w:pPr>
        <w:pStyle w:val="Cmsor5"/>
      </w:pPr>
      <w:bookmarkStart w:id="8" w:name="_Toc33093863"/>
      <w:r w:rsidRPr="002F6D06">
        <w:t>10. § [A félév lezárása, a szüneteltetés]</w:t>
      </w:r>
      <w:bookmarkEnd w:id="8"/>
    </w:p>
    <w:p w14:paraId="2A6AC15D" w14:textId="77777777" w:rsidR="002A2456" w:rsidRPr="002F6D06" w:rsidRDefault="002A2456" w:rsidP="002A2456">
      <w:pPr>
        <w:spacing w:line="300" w:lineRule="exact"/>
        <w:rPr>
          <w:rFonts w:ascii="Times New Roman" w:hAnsi="Times New Roman" w:cs="Times New Roman"/>
          <w:sz w:val="24"/>
        </w:rPr>
      </w:pPr>
    </w:p>
    <w:p w14:paraId="5C88D8FC" w14:textId="77777777" w:rsidR="002A2456" w:rsidRPr="002F6D06" w:rsidRDefault="002A2456" w:rsidP="002A2456">
      <w:pPr>
        <w:pStyle w:val="Listaszerbekezds"/>
        <w:numPr>
          <w:ilvl w:val="0"/>
          <w:numId w:val="6"/>
        </w:numPr>
        <w:spacing w:line="300" w:lineRule="exact"/>
        <w:rPr>
          <w:sz w:val="24"/>
        </w:rPr>
      </w:pPr>
      <w:r w:rsidRPr="002F6D06">
        <w:rPr>
          <w:sz w:val="24"/>
        </w:rPr>
        <w:t>A félév végén a kurzusok sikeres elvégzését a vizsgáztatók/kurzusvezetők, a kutatási feladatok elvégzését a témavezetők igazolják. Az elvégzett kurzusok eredményét a kurzusvezetők a Neptun rendszerben rögzítik. A kutatási feladat teljesítése nélkül a félév nem zárható le. A hallgató és a képzésért felelős vezetők döntésével szembeni jogorvoslat elbírálása a Felülbírálati Bizottság hatáskörébe tartozik. A félévet a DI vezetője zárja le. A lezárt félév egyben a következő bejelentkezés és az ösztöndíj további folyósításának feltétele.</w:t>
      </w:r>
    </w:p>
    <w:p w14:paraId="08F93156" w14:textId="77777777" w:rsidR="002A2456" w:rsidRPr="002F6D06" w:rsidRDefault="002A2456" w:rsidP="002A2456">
      <w:pPr>
        <w:spacing w:line="300" w:lineRule="exact"/>
        <w:rPr>
          <w:rFonts w:ascii="Times New Roman" w:hAnsi="Times New Roman" w:cs="Times New Roman"/>
          <w:sz w:val="24"/>
        </w:rPr>
      </w:pPr>
    </w:p>
    <w:p w14:paraId="5AE67866" w14:textId="4C30B476" w:rsidR="002A2456" w:rsidRDefault="002A2456" w:rsidP="002A2456">
      <w:pPr>
        <w:pStyle w:val="Listaszerbekezds"/>
        <w:numPr>
          <w:ilvl w:val="0"/>
          <w:numId w:val="6"/>
        </w:numPr>
        <w:spacing w:line="300" w:lineRule="exact"/>
        <w:rPr>
          <w:sz w:val="24"/>
        </w:rPr>
      </w:pPr>
      <w:r w:rsidRPr="002F6D06">
        <w:rPr>
          <w:sz w:val="24"/>
        </w:rPr>
        <w:t xml:space="preserve">Az abszolutórium megszerzése csak aktív félévben történhet. </w:t>
      </w:r>
    </w:p>
    <w:p w14:paraId="3CA8213B" w14:textId="77777777" w:rsidR="00FC3AE9" w:rsidRPr="00FC3AE9" w:rsidRDefault="00FC3AE9" w:rsidP="00FC3AE9">
      <w:pPr>
        <w:pStyle w:val="Listaszerbekezds"/>
        <w:rPr>
          <w:sz w:val="24"/>
        </w:rPr>
      </w:pPr>
    </w:p>
    <w:p w14:paraId="0387EEE2" w14:textId="77777777" w:rsidR="00FC3AE9" w:rsidRPr="002F6D06" w:rsidRDefault="00FC3AE9" w:rsidP="00FC3AE9">
      <w:pPr>
        <w:pStyle w:val="Listaszerbekezds"/>
        <w:spacing w:line="300" w:lineRule="exact"/>
        <w:rPr>
          <w:sz w:val="24"/>
        </w:rPr>
      </w:pPr>
    </w:p>
    <w:p w14:paraId="56A5B7D2" w14:textId="77777777" w:rsidR="002A2456" w:rsidRPr="002F6D06" w:rsidRDefault="002A2456" w:rsidP="002A2456">
      <w:pPr>
        <w:spacing w:line="300" w:lineRule="exact"/>
        <w:rPr>
          <w:rFonts w:ascii="Times New Roman" w:hAnsi="Times New Roman" w:cs="Times New Roman"/>
          <w:sz w:val="24"/>
        </w:rPr>
      </w:pPr>
    </w:p>
    <w:p w14:paraId="2E89DA2B" w14:textId="77777777" w:rsidR="002A2456" w:rsidRPr="002F6D06" w:rsidRDefault="002A2456" w:rsidP="002A2456">
      <w:pPr>
        <w:pStyle w:val="Cmsor5"/>
      </w:pPr>
      <w:bookmarkStart w:id="9" w:name="_Toc33093858"/>
      <w:r w:rsidRPr="002F6D06">
        <w:lastRenderedPageBreak/>
        <w:t>5. § [Komplex vizsga]</w:t>
      </w:r>
      <w:bookmarkEnd w:id="9"/>
    </w:p>
    <w:p w14:paraId="79836627" w14:textId="77777777" w:rsidR="002A2456" w:rsidRPr="002F6D06" w:rsidRDefault="002A2456" w:rsidP="002A2456">
      <w:pPr>
        <w:spacing w:line="300" w:lineRule="exact"/>
        <w:rPr>
          <w:rFonts w:ascii="Times New Roman" w:hAnsi="Times New Roman" w:cs="Times New Roman"/>
          <w:sz w:val="24"/>
        </w:rPr>
      </w:pPr>
    </w:p>
    <w:p w14:paraId="40F2F1C2" w14:textId="77777777" w:rsidR="002A2456" w:rsidRPr="002F6D06" w:rsidRDefault="002A2456" w:rsidP="002A2456">
      <w:pPr>
        <w:pStyle w:val="Listaszerbekezds"/>
        <w:numPr>
          <w:ilvl w:val="0"/>
          <w:numId w:val="2"/>
        </w:numPr>
        <w:spacing w:line="300" w:lineRule="exact"/>
        <w:rPr>
          <w:sz w:val="24"/>
        </w:rPr>
      </w:pPr>
      <w:r w:rsidRPr="002F6D06">
        <w:rPr>
          <w:sz w:val="24"/>
        </w:rPr>
        <w:t>A komplex vizsga célja a doktorandusz tárgyi tudásának és szakirodalmi ismereteinek („elméleti rész”), valamint tudományos teljesítményének értékelése („disszertációs rész”). Az elméleti részben a doktorandusz két tárgyból/témakörből tesz vizsgát. A főtárgy keretében a hallgató egy szélesebb tudományterületen való tájékozottságáról ad számot, míg a melléktárgy keretében a kutatási területéhez kapcsolódó szűkebb tudományterületről. Az elméleti vizsgának lehet írásbeli része is. A komplex vizsga második részében a hallgató előadás formájában ad számot szakirodalmi ismereteiről, beszámol kutatási eredményeiről, ismerteti a doktori képzés második szakaszára vonatkozó kutatási tervét, valamint a disszertáció elkészítésének és az eredmények publikálásának ütemezését.  Ebben a vizsgarészben meg kell győződni arról is, hogy a hallgató alaposan ismeri az általa használt metodikákat, és az eredményei értékeléséhez alkalmazott statisztikai módszereket.”</w:t>
      </w:r>
    </w:p>
    <w:p w14:paraId="4331889A" w14:textId="77777777" w:rsidR="002A2456" w:rsidRPr="002F6D06" w:rsidRDefault="002A2456" w:rsidP="002A2456">
      <w:pPr>
        <w:rPr>
          <w:rFonts w:ascii="Times New Roman" w:hAnsi="Times New Roman" w:cs="Times New Roman"/>
        </w:rPr>
      </w:pPr>
    </w:p>
    <w:p w14:paraId="5E524FB7" w14:textId="77777777" w:rsidR="002A2456" w:rsidRPr="002F6D06" w:rsidRDefault="002A2456" w:rsidP="002A2456">
      <w:pPr>
        <w:rPr>
          <w:rFonts w:ascii="Times New Roman" w:hAnsi="Times New Roman" w:cs="Times New Roman"/>
          <w:i/>
        </w:rPr>
      </w:pPr>
      <w:bookmarkStart w:id="10" w:name="_Toc33093890"/>
      <w:r w:rsidRPr="002F6D06">
        <w:rPr>
          <w:rFonts w:ascii="Times New Roman" w:hAnsi="Times New Roman" w:cs="Times New Roman"/>
          <w:i/>
        </w:rPr>
        <w:t>34. § [Programvezető]</w:t>
      </w:r>
      <w:bookmarkEnd w:id="10"/>
      <w:r w:rsidRPr="002F6D06">
        <w:rPr>
          <w:rFonts w:ascii="Times New Roman" w:hAnsi="Times New Roman" w:cs="Times New Roman"/>
          <w:i/>
        </w:rPr>
        <w:t>1. pont</w:t>
      </w:r>
    </w:p>
    <w:p w14:paraId="16C8FC2B" w14:textId="77777777" w:rsidR="002A2456" w:rsidRPr="002F6D06" w:rsidRDefault="002A2456" w:rsidP="002A2456">
      <w:pPr>
        <w:pStyle w:val="Listaszerbekezds"/>
        <w:numPr>
          <w:ilvl w:val="0"/>
          <w:numId w:val="7"/>
        </w:numPr>
        <w:spacing w:line="300" w:lineRule="exact"/>
        <w:rPr>
          <w:sz w:val="24"/>
        </w:rPr>
      </w:pPr>
      <w:r w:rsidRPr="002F6D06">
        <w:rPr>
          <w:sz w:val="24"/>
        </w:rPr>
        <w:t>javaslatot tesz a DI Tanácsának a doktori szigorlat valamint a komplex vizsga bizottsági tagjainak és az értekezést bíráló bizottsági tagok személyére;</w:t>
      </w:r>
    </w:p>
    <w:p w14:paraId="377ECB8C" w14:textId="77777777" w:rsidR="002A2456" w:rsidRPr="002F6D06" w:rsidRDefault="002A2456" w:rsidP="002A2456">
      <w:pPr>
        <w:pStyle w:val="Listaszerbekezds"/>
        <w:numPr>
          <w:ilvl w:val="0"/>
          <w:numId w:val="7"/>
        </w:numPr>
        <w:spacing w:line="300" w:lineRule="exact"/>
        <w:rPr>
          <w:sz w:val="24"/>
        </w:rPr>
      </w:pPr>
      <w:r w:rsidRPr="002F6D06">
        <w:rPr>
          <w:sz w:val="24"/>
        </w:rPr>
        <w:t>kezdeményezi és megszervezi a doktorandusz értekezésének munkahelyi vitáját.</w:t>
      </w:r>
    </w:p>
    <w:p w14:paraId="53781B9E" w14:textId="77777777" w:rsidR="00276EF4" w:rsidRPr="00276EF4" w:rsidRDefault="00276EF4" w:rsidP="00276EF4">
      <w:pPr>
        <w:rPr>
          <w:lang w:eastAsia="hu-HU"/>
        </w:rPr>
      </w:pPr>
    </w:p>
    <w:p w14:paraId="1ECC11E9" w14:textId="77777777" w:rsidR="002A2456" w:rsidRPr="002F6D06" w:rsidRDefault="002A2456" w:rsidP="002A2456">
      <w:pPr>
        <w:pStyle w:val="Cmsor5"/>
      </w:pPr>
      <w:r w:rsidRPr="002F6D06">
        <w:t>5. § [Komplex vizsga]</w:t>
      </w:r>
    </w:p>
    <w:p w14:paraId="15D7D0AB" w14:textId="77777777" w:rsidR="002A2456" w:rsidRPr="002F6D06" w:rsidRDefault="002A2456" w:rsidP="002A2456">
      <w:pPr>
        <w:spacing w:line="300" w:lineRule="exact"/>
        <w:rPr>
          <w:rFonts w:ascii="Times New Roman" w:hAnsi="Times New Roman" w:cs="Times New Roman"/>
          <w:sz w:val="24"/>
        </w:rPr>
      </w:pPr>
    </w:p>
    <w:p w14:paraId="136CEC5E" w14:textId="77777777" w:rsidR="002A2456" w:rsidRPr="002F6D06" w:rsidRDefault="002A2456" w:rsidP="002A2456">
      <w:pPr>
        <w:pStyle w:val="Listaszerbekezds"/>
        <w:numPr>
          <w:ilvl w:val="0"/>
          <w:numId w:val="9"/>
        </w:numPr>
        <w:spacing w:line="300" w:lineRule="exact"/>
        <w:rPr>
          <w:sz w:val="24"/>
        </w:rPr>
      </w:pPr>
      <w:r w:rsidRPr="002F6D06">
        <w:rPr>
          <w:sz w:val="24"/>
        </w:rPr>
        <w:t>A komplex vizsga célja a doktorandusz tárgyi tudásának és szakirodalmi ismereteinek („elméleti rész”), valamint tudományos teljesítményének értékelése („disszertációs rész”). Az elméleti részben a doktorandusz két tárgyból/témakörből tesz vizsgát. A főtárgy keretében a hallgató egy szélesebb tudományterületen való tájékozottságáról ad számot, míg a melléktárgy keretében a kutatási területéhez kapcsolódó szűkebb tudományterületről. Az elméleti vizsgának lehet írásbeli része is. A komplex vizsga második részében a hallgató előadás formájában ad számot szakirodalmi ismereteiről, beszámol kutatási eredményeiről, ismerteti a doktori képzés második szakaszára vonatkozó kutatási tervét, valamint a disszertáció elkészítésének és az eredmények publikálásának ütemezését.  Ebben a vizsgarészben meg kell győződni arról is, hogy a hallgató alaposan ismeri az általa használt metodikákat, és az eredményei értékeléséhez alkalmazott statisztikai módszereket.</w:t>
      </w:r>
    </w:p>
    <w:p w14:paraId="54B4871F" w14:textId="77777777" w:rsidR="002A2456" w:rsidRPr="002F6D06" w:rsidRDefault="002A2456" w:rsidP="002A2456">
      <w:pPr>
        <w:spacing w:line="300" w:lineRule="exact"/>
        <w:rPr>
          <w:rFonts w:ascii="Times New Roman" w:hAnsi="Times New Roman" w:cs="Times New Roman"/>
          <w:sz w:val="24"/>
        </w:rPr>
      </w:pPr>
    </w:p>
    <w:p w14:paraId="2CB09A36" w14:textId="77777777" w:rsidR="002A2456" w:rsidRPr="002F6D06" w:rsidRDefault="002A2456" w:rsidP="002A2456">
      <w:pPr>
        <w:pStyle w:val="Listaszerbekezds"/>
        <w:numPr>
          <w:ilvl w:val="0"/>
          <w:numId w:val="8"/>
        </w:numPr>
        <w:spacing w:line="300" w:lineRule="exact"/>
        <w:rPr>
          <w:sz w:val="24"/>
        </w:rPr>
      </w:pPr>
      <w:r w:rsidRPr="002F6D06">
        <w:rPr>
          <w:sz w:val="24"/>
        </w:rPr>
        <w:t>pont</w:t>
      </w:r>
    </w:p>
    <w:p w14:paraId="0E18DD51" w14:textId="77777777" w:rsidR="002A2456" w:rsidRPr="002F6D06" w:rsidRDefault="002A2456" w:rsidP="002A2456">
      <w:pPr>
        <w:pStyle w:val="Listaszerbekezds"/>
        <w:spacing w:line="300" w:lineRule="exact"/>
        <w:rPr>
          <w:sz w:val="24"/>
        </w:rPr>
      </w:pPr>
      <w:r w:rsidRPr="002F6D06">
        <w:rPr>
          <w:sz w:val="24"/>
        </w:rPr>
        <w:t xml:space="preserve">A komplex vizsgát nyilvánosan, bizottság előtt kell letenni, a hallgató kérelmére a vizsgát zártan kell megtartani. A vizsgabizottság legalább három tagból áll, a tagok legalább egyharmada nem áll foglalkoztatásra irányuló jogviszonyban az Egyetemmel. A bizottság elnöke valamelyik doktori iskola </w:t>
      </w:r>
      <w:r w:rsidRPr="002F6D06">
        <w:rPr>
          <w:bCs/>
          <w:sz w:val="24"/>
        </w:rPr>
        <w:t xml:space="preserve">szakmailag illetékes egyetemi tanára, professzor emeritusa, </w:t>
      </w:r>
      <w:r w:rsidRPr="002F6D06">
        <w:rPr>
          <w:sz w:val="24"/>
        </w:rPr>
        <w:t xml:space="preserve">habilitált egyetemi docense vagy habilitált főiskolai tanára vagy kutatóprofesszora lehet, aki a Semmelweis Egyetemmel közalkalmazotti vagy foglalkoztatásra irányuló jogviszonyban áll. A vizsgabizottság valamennyi tagja </w:t>
      </w:r>
      <w:r w:rsidRPr="002F6D06">
        <w:rPr>
          <w:sz w:val="24"/>
        </w:rPr>
        <w:lastRenderedPageBreak/>
        <w:t xml:space="preserve">tudományos fokozattal rendelkezik. A vizsgabizottságnak nem lehet tagja a vizsgázó doktorandusz témavezetője, de a komplex vizsgán jelen lehet, és a hallgatót előzetesen írásban értékelnie kell. </w:t>
      </w:r>
    </w:p>
    <w:p w14:paraId="6AEF1BC7" w14:textId="77777777" w:rsidR="002A2456" w:rsidRPr="002F6D06" w:rsidRDefault="002A2456" w:rsidP="002A2456">
      <w:pPr>
        <w:spacing w:line="300" w:lineRule="exact"/>
        <w:rPr>
          <w:rFonts w:ascii="Times New Roman" w:hAnsi="Times New Roman" w:cs="Times New Roman"/>
          <w:sz w:val="24"/>
        </w:rPr>
      </w:pPr>
    </w:p>
    <w:p w14:paraId="720999B3" w14:textId="77777777" w:rsidR="002A2456" w:rsidRPr="002F6D06" w:rsidRDefault="002A2456" w:rsidP="002A2456">
      <w:pPr>
        <w:pStyle w:val="Listaszerbekezds"/>
        <w:numPr>
          <w:ilvl w:val="0"/>
          <w:numId w:val="8"/>
        </w:numPr>
        <w:spacing w:line="300" w:lineRule="exact"/>
        <w:rPr>
          <w:sz w:val="24"/>
        </w:rPr>
      </w:pPr>
      <w:r w:rsidRPr="002F6D06">
        <w:rPr>
          <w:sz w:val="24"/>
        </w:rPr>
        <w:t xml:space="preserve">pont. </w:t>
      </w:r>
    </w:p>
    <w:p w14:paraId="755A6455" w14:textId="77777777" w:rsidR="002A2456" w:rsidRPr="002F6D06" w:rsidRDefault="002A2456" w:rsidP="002A2456">
      <w:pPr>
        <w:pStyle w:val="Listaszerbekezds"/>
        <w:spacing w:line="300" w:lineRule="exact"/>
        <w:rPr>
          <w:sz w:val="24"/>
        </w:rPr>
      </w:pPr>
      <w:r w:rsidRPr="002F6D06">
        <w:rPr>
          <w:sz w:val="24"/>
        </w:rPr>
        <w:t>A vizsgabizottság külön-külön értékeli a vizsga elméleti és disszertációs részét. A komplex vizsga elméleti részének értékelése ötfokozatú érdemjeggyel történik, a gyakorlati része megfelelt/nem megfelelt minősítéssel.</w:t>
      </w:r>
      <w:r w:rsidRPr="002F6D06">
        <w:rPr>
          <w:b/>
          <w:sz w:val="24"/>
        </w:rPr>
        <w:t xml:space="preserve"> </w:t>
      </w:r>
      <w:r w:rsidRPr="002F6D06">
        <w:rPr>
          <w:sz w:val="24"/>
        </w:rPr>
        <w:t xml:space="preserve">A komplex vizsga sikeres, amennyiben a bizottság tagjainak többsége mindkét vizsgarészt sikeresnek ítéli meg. A komplex vizsgáról szöveges értékelést is tartalmazó jegyzőkönyv készül. A vizsga eredményét a szóbeli vizsga napján ki kell hirdetni. </w:t>
      </w:r>
    </w:p>
    <w:p w14:paraId="27C7F7E8" w14:textId="77777777" w:rsidR="002A2456" w:rsidRPr="002F6D06" w:rsidRDefault="002A2456" w:rsidP="002A2456">
      <w:pPr>
        <w:spacing w:line="300" w:lineRule="exact"/>
        <w:rPr>
          <w:rFonts w:ascii="Times New Roman" w:hAnsi="Times New Roman" w:cs="Times New Roman"/>
          <w:sz w:val="24"/>
        </w:rPr>
      </w:pPr>
    </w:p>
    <w:p w14:paraId="3D7E4FD4" w14:textId="77777777" w:rsidR="002A2456" w:rsidRPr="002F6D06" w:rsidRDefault="002A2456" w:rsidP="002A2456">
      <w:pPr>
        <w:spacing w:line="300" w:lineRule="exact"/>
        <w:rPr>
          <w:rFonts w:ascii="Times New Roman" w:hAnsi="Times New Roman" w:cs="Times New Roman"/>
          <w:sz w:val="24"/>
        </w:rPr>
      </w:pPr>
    </w:p>
    <w:p w14:paraId="31C95BF9" w14:textId="77777777" w:rsidR="002A2456" w:rsidRPr="002F6D06" w:rsidRDefault="002A2456" w:rsidP="002A2456">
      <w:pPr>
        <w:pStyle w:val="Cmsor5"/>
      </w:pPr>
      <w:bookmarkStart w:id="11" w:name="_Toc33093902"/>
      <w:r w:rsidRPr="002F6D06">
        <w:t>41. § [Doktori szigorlat]</w:t>
      </w:r>
      <w:bookmarkEnd w:id="11"/>
    </w:p>
    <w:p w14:paraId="14DA1EC6" w14:textId="77777777" w:rsidR="002A2456" w:rsidRPr="002F6D06" w:rsidRDefault="002A2456" w:rsidP="002A2456">
      <w:pPr>
        <w:spacing w:line="300" w:lineRule="exact"/>
        <w:rPr>
          <w:rFonts w:ascii="Times New Roman" w:hAnsi="Times New Roman" w:cs="Times New Roman"/>
          <w:sz w:val="24"/>
        </w:rPr>
      </w:pPr>
      <w:r w:rsidRPr="002F6D06">
        <w:rPr>
          <w:rFonts w:ascii="Times New Roman" w:hAnsi="Times New Roman" w:cs="Times New Roman"/>
          <w:sz w:val="24"/>
        </w:rPr>
        <w:t>7.  Összeférhetetlenségi okokból a bizottság elnöke vagy tagja nem lehet a doktorjelölt közeli hozzátartozója, témavezetője, a jelölt vagy a témavezető közvetlen munkahelyi vezetője, munkatársa, a jelölt szerzőtársa, vagy akitől a tárgyilagos elbírálás nem várható el. Lehetőleg kerülendő, hogy bizottsági tag legyen az érintett képzési program oktatója.</w:t>
      </w:r>
    </w:p>
    <w:p w14:paraId="0EDB5811" w14:textId="77777777" w:rsidR="002A2456" w:rsidRPr="002F6D06" w:rsidRDefault="002A2456" w:rsidP="002A2456">
      <w:pPr>
        <w:spacing w:line="300" w:lineRule="exact"/>
        <w:rPr>
          <w:rFonts w:ascii="Times New Roman" w:hAnsi="Times New Roman" w:cs="Times New Roman"/>
          <w:sz w:val="24"/>
        </w:rPr>
      </w:pPr>
    </w:p>
    <w:p w14:paraId="0FCE3841" w14:textId="77777777" w:rsidR="002A2456" w:rsidRPr="002F6D06" w:rsidRDefault="002A2456" w:rsidP="002A2456">
      <w:pPr>
        <w:pStyle w:val="Cmsor5"/>
      </w:pPr>
      <w:bookmarkStart w:id="12" w:name="_Toc33093874"/>
      <w:r w:rsidRPr="002F6D06">
        <w:t>20. § [Doktori értekezés]</w:t>
      </w:r>
      <w:bookmarkEnd w:id="12"/>
    </w:p>
    <w:p w14:paraId="7550D24D" w14:textId="77777777" w:rsidR="002A2456" w:rsidRPr="002F6D06" w:rsidRDefault="002A2456" w:rsidP="002A2456">
      <w:pPr>
        <w:spacing w:line="300" w:lineRule="exact"/>
        <w:rPr>
          <w:rFonts w:ascii="Times New Roman" w:hAnsi="Times New Roman" w:cs="Times New Roman"/>
          <w:sz w:val="24"/>
        </w:rPr>
      </w:pPr>
    </w:p>
    <w:p w14:paraId="38A0D91F" w14:textId="77777777" w:rsidR="002A2456" w:rsidRPr="002F6D06" w:rsidRDefault="002A2456" w:rsidP="002A2456">
      <w:pPr>
        <w:pStyle w:val="Listaszerbekezds"/>
        <w:numPr>
          <w:ilvl w:val="0"/>
          <w:numId w:val="10"/>
        </w:numPr>
        <w:spacing w:line="300" w:lineRule="exact"/>
        <w:rPr>
          <w:sz w:val="24"/>
        </w:rPr>
      </w:pPr>
      <w:r w:rsidRPr="002F6D06">
        <w:rPr>
          <w:sz w:val="24"/>
        </w:rPr>
        <w:t xml:space="preserve">A bíráló bizottság elnökből, legalább két tagból (egy vagy két póttagból) és két hivatalos bírálóból áll. A bizottság elnöke az EDI valamelyik DI-jének </w:t>
      </w:r>
      <w:r w:rsidRPr="002F6D06">
        <w:rPr>
          <w:bCs/>
          <w:sz w:val="24"/>
        </w:rPr>
        <w:t>szakmailag illetékes egyetemi tanára, kutatóprofesszora, professzor emeritusa,</w:t>
      </w:r>
      <w:r w:rsidRPr="002F6D06">
        <w:rPr>
          <w:b/>
          <w:bCs/>
          <w:sz w:val="24"/>
        </w:rPr>
        <w:t xml:space="preserve"> </w:t>
      </w:r>
      <w:r w:rsidRPr="002F6D06">
        <w:rPr>
          <w:sz w:val="24"/>
        </w:rPr>
        <w:t>habilitált egyetemi docense vagy habilitált főiskolai tanára lehet, aki a Semmelweis Egyetemmel közalkalmazotti vagy foglalkoztatásra irányuló jogviszonyban áll. A bizottság minden tagjának tudományos fokozattal kell rendelkeznie.</w:t>
      </w:r>
    </w:p>
    <w:p w14:paraId="0DB64B90" w14:textId="77777777" w:rsidR="002A2456" w:rsidRPr="002F6D06" w:rsidRDefault="002A2456" w:rsidP="002A2456">
      <w:pPr>
        <w:spacing w:line="300" w:lineRule="exact"/>
        <w:rPr>
          <w:rFonts w:ascii="Times New Roman" w:hAnsi="Times New Roman" w:cs="Times New Roman"/>
          <w:sz w:val="24"/>
        </w:rPr>
      </w:pPr>
    </w:p>
    <w:p w14:paraId="257D89DD" w14:textId="77777777" w:rsidR="002A2456" w:rsidRPr="002F6D06" w:rsidRDefault="002A2456" w:rsidP="002A2456">
      <w:pPr>
        <w:pStyle w:val="Listaszerbekezds"/>
        <w:numPr>
          <w:ilvl w:val="0"/>
          <w:numId w:val="10"/>
        </w:numPr>
        <w:spacing w:line="300" w:lineRule="exact"/>
        <w:rPr>
          <w:sz w:val="24"/>
        </w:rPr>
      </w:pPr>
      <w:r w:rsidRPr="002F6D06">
        <w:rPr>
          <w:sz w:val="24"/>
        </w:rPr>
        <w:t xml:space="preserve">A bizottságban a külső (az Egyetemmel közalkalmazotti vagy foglalkoztatásra irányuló jogviszonyban nem álló) és belső tagok aránya legalább 1/3-1/3 legyen. A bizottság létszámának legalább egyharmada (legalább egy, de nem összes tagja) vagy a bírálók egyike az Egyetemmel foglalkoztatási jogviszonyban nem álló és az adott DI munkájában részt nem vevő (külső) szakember. Az Egyetem </w:t>
      </w:r>
      <w:r w:rsidRPr="002F6D06">
        <w:rPr>
          <w:bCs/>
          <w:sz w:val="24"/>
        </w:rPr>
        <w:t>professzor emeritusa</w:t>
      </w:r>
      <w:r w:rsidRPr="002F6D06">
        <w:rPr>
          <w:sz w:val="24"/>
        </w:rPr>
        <w:t xml:space="preserve"> e tekintetben az Egyetemmel foglalkoztatási jogviszonyban álló személynek minősül. Ha a bizottság létszáma nem éri el az 5 főt, mindössze egy tag ne legyen az Egyetemen foglalkoztatásra irányuló jogviszonyban. A bizottságot lehetőség szerint célszerű úgy kijelölni, hogy legalább két-két tag legyen mindkét csoportban. A jelölt témavezetője a bizottság munkájában tanácskozási joggal részt vehet, amennyiben a bíráló bizottság ezt igényli. A hivatalos bírálók egyike az Egyetemmel foglalkoztatási jogviszonyban nem álló szakember, a másik bíráló az Egyetem, és az EDI oktatója. </w:t>
      </w:r>
    </w:p>
    <w:p w14:paraId="5C1E9FC0" w14:textId="77777777" w:rsidR="002A2456" w:rsidRPr="002F6D06" w:rsidRDefault="002A2456" w:rsidP="002A2456">
      <w:pPr>
        <w:spacing w:line="300" w:lineRule="exact"/>
        <w:rPr>
          <w:rFonts w:ascii="Times New Roman" w:hAnsi="Times New Roman" w:cs="Times New Roman"/>
          <w:sz w:val="24"/>
        </w:rPr>
      </w:pPr>
    </w:p>
    <w:p w14:paraId="1DE378FF" w14:textId="77777777" w:rsidR="002A2456" w:rsidRPr="002F6D06" w:rsidRDefault="002A2456" w:rsidP="002A2456">
      <w:pPr>
        <w:pStyle w:val="Listaszerbekezds"/>
        <w:numPr>
          <w:ilvl w:val="0"/>
          <w:numId w:val="10"/>
        </w:numPr>
        <w:spacing w:line="300" w:lineRule="exact"/>
        <w:rPr>
          <w:sz w:val="24"/>
        </w:rPr>
      </w:pPr>
      <w:r w:rsidRPr="002F6D06">
        <w:rPr>
          <w:sz w:val="24"/>
        </w:rPr>
        <w:lastRenderedPageBreak/>
        <w:t>Sem a bíráló bizottság tagja, sem hivatalos bíráló nem lehet a jelölt közeli hozzátartozója, továbbá, akitől az ügy tárgyilagos elbírálása nem várható el vagy a jelölt vagy a témavezető közvetlen munkahelyi vezetője, vagy az értekezés benyújtásához képest 5 éven belül megjelent közleményben munkatársa, szerzőtársa. Ugyanígy nem vehet részt a bírálati eljárásban az a személy, aki a doktori eljárás más részében (munkahelyi vita, elővéleményezés, komplex vizsgabizottság) szerepelt. A doktorandusz összeférhetetlenség esetén az EDT-től vagy– átruházott jogkör esetén - a DI Tanácsától kérheti a bíráló bizottság személyi összetételének megváltoztatását.</w:t>
      </w:r>
    </w:p>
    <w:p w14:paraId="3AA585DC" w14:textId="77777777" w:rsidR="002A2456" w:rsidRPr="002F6D06" w:rsidRDefault="002A2456" w:rsidP="002A2456">
      <w:pPr>
        <w:spacing w:line="300" w:lineRule="exact"/>
        <w:rPr>
          <w:rFonts w:ascii="Times New Roman" w:hAnsi="Times New Roman" w:cs="Times New Roman"/>
          <w:sz w:val="24"/>
        </w:rPr>
      </w:pPr>
    </w:p>
    <w:p w14:paraId="7B0D1DBD" w14:textId="77777777" w:rsidR="002A2456" w:rsidRPr="002F6D06" w:rsidRDefault="002A2456" w:rsidP="002A2456">
      <w:pPr>
        <w:pStyle w:val="Listaszerbekezds"/>
        <w:numPr>
          <w:ilvl w:val="0"/>
          <w:numId w:val="10"/>
        </w:numPr>
        <w:spacing w:line="300" w:lineRule="exact"/>
        <w:rPr>
          <w:sz w:val="24"/>
        </w:rPr>
      </w:pPr>
      <w:r w:rsidRPr="002F6D06">
        <w:rPr>
          <w:sz w:val="24"/>
        </w:rPr>
        <w:t>Az értekezést bíráló bizottság elnökének és tagjainak személyét az EDT - vagy átruházott jogkörrel a DI Tanácsa - jelöli ki. A jelölést a DI elnöke véleményezésre elküldi a VMB-nek a formanyomtatványtárban meghatározott formanyomtatványon</w:t>
      </w:r>
      <w:r w:rsidRPr="002F6D06">
        <w:rPr>
          <w:i/>
          <w:sz w:val="24"/>
        </w:rPr>
        <w:t xml:space="preserve"> </w:t>
      </w:r>
      <w:r w:rsidRPr="002F6D06">
        <w:rPr>
          <w:sz w:val="24"/>
        </w:rPr>
        <w:t>Egyetértés esetén a javaslatot a VMB adatrögzítésre visszaküldi a DI vezetőjének és a Doktori Hivatalnak. A doktoranduszt DI vezetője írásban tájékoztatja a bizottság összetételéről.</w:t>
      </w:r>
    </w:p>
    <w:p w14:paraId="413ACD2D" w14:textId="77777777" w:rsidR="002A2456" w:rsidRPr="002F6D06" w:rsidRDefault="002A2456" w:rsidP="002A2456">
      <w:pPr>
        <w:spacing w:line="300" w:lineRule="exact"/>
        <w:rPr>
          <w:rFonts w:ascii="Times New Roman" w:hAnsi="Times New Roman" w:cs="Times New Roman"/>
          <w:sz w:val="24"/>
        </w:rPr>
      </w:pPr>
    </w:p>
    <w:p w14:paraId="07DE1862" w14:textId="77777777" w:rsidR="002A2456" w:rsidRPr="002F6D06" w:rsidRDefault="002A2456" w:rsidP="002A2456">
      <w:pPr>
        <w:spacing w:line="300" w:lineRule="exact"/>
        <w:rPr>
          <w:rFonts w:ascii="Times New Roman" w:hAnsi="Times New Roman" w:cs="Times New Roman"/>
          <w:sz w:val="24"/>
        </w:rPr>
      </w:pPr>
    </w:p>
    <w:p w14:paraId="6E5A23B1" w14:textId="77777777" w:rsidR="002A2456" w:rsidRPr="002F6D06" w:rsidRDefault="002A2456" w:rsidP="002A2456">
      <w:pPr>
        <w:rPr>
          <w:rFonts w:ascii="Times New Roman" w:hAnsi="Times New Roman" w:cs="Times New Roman"/>
        </w:rPr>
      </w:pPr>
    </w:p>
    <w:p w14:paraId="13183111" w14:textId="77777777" w:rsidR="00AD7EFC" w:rsidRDefault="00AD7EFC"/>
    <w:sectPr w:rsidR="00AD7E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DE58" w14:textId="77777777" w:rsidR="00E5496E" w:rsidRDefault="00E5496E" w:rsidP="007A4699">
      <w:pPr>
        <w:spacing w:after="0" w:line="240" w:lineRule="auto"/>
      </w:pPr>
      <w:r>
        <w:separator/>
      </w:r>
    </w:p>
  </w:endnote>
  <w:endnote w:type="continuationSeparator" w:id="0">
    <w:p w14:paraId="3FDD957F" w14:textId="77777777" w:rsidR="00E5496E" w:rsidRDefault="00E5496E" w:rsidP="007A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4298" w14:textId="77777777" w:rsidR="000C58C5" w:rsidRDefault="000C58C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77948"/>
      <w:docPartObj>
        <w:docPartGallery w:val="Page Numbers (Bottom of Page)"/>
        <w:docPartUnique/>
      </w:docPartObj>
    </w:sdtPr>
    <w:sdtEndPr/>
    <w:sdtContent>
      <w:p w14:paraId="636A221D" w14:textId="5B978BB4" w:rsidR="007A4699" w:rsidRDefault="007A4699">
        <w:pPr>
          <w:pStyle w:val="llb"/>
          <w:jc w:val="right"/>
        </w:pPr>
        <w:r>
          <w:fldChar w:fldCharType="begin"/>
        </w:r>
        <w:r>
          <w:instrText>PAGE   \* MERGEFORMAT</w:instrText>
        </w:r>
        <w:r>
          <w:fldChar w:fldCharType="separate"/>
        </w:r>
        <w:r w:rsidR="009265E8">
          <w:rPr>
            <w:noProof/>
          </w:rPr>
          <w:t>10</w:t>
        </w:r>
        <w:r>
          <w:fldChar w:fldCharType="end"/>
        </w:r>
      </w:p>
    </w:sdtContent>
  </w:sdt>
  <w:p w14:paraId="19944058" w14:textId="77777777" w:rsidR="007A4699" w:rsidRDefault="007A469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F84A" w14:textId="77777777" w:rsidR="000C58C5" w:rsidRDefault="000C58C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8624" w14:textId="77777777" w:rsidR="00E5496E" w:rsidRDefault="00E5496E" w:rsidP="007A4699">
      <w:pPr>
        <w:spacing w:after="0" w:line="240" w:lineRule="auto"/>
      </w:pPr>
      <w:r>
        <w:separator/>
      </w:r>
    </w:p>
  </w:footnote>
  <w:footnote w:type="continuationSeparator" w:id="0">
    <w:p w14:paraId="30E8945C" w14:textId="77777777" w:rsidR="00E5496E" w:rsidRDefault="00E5496E" w:rsidP="007A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D967" w14:textId="77777777" w:rsidR="000C58C5" w:rsidRDefault="000C58C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0779" w14:textId="77777777" w:rsidR="000C58C5" w:rsidRDefault="000C58C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7F59" w14:textId="77777777" w:rsidR="000C58C5" w:rsidRDefault="000C58C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71F8"/>
    <w:multiLevelType w:val="hybridMultilevel"/>
    <w:tmpl w:val="62F26C1E"/>
    <w:lvl w:ilvl="0" w:tplc="040E000F">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4E77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4B5AF6"/>
    <w:multiLevelType w:val="hybridMultilevel"/>
    <w:tmpl w:val="9EE09CA4"/>
    <w:lvl w:ilvl="0" w:tplc="2F7E85A4">
      <w:start w:val="5"/>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 w15:restartNumberingAfterBreak="0">
    <w:nsid w:val="34F3136E"/>
    <w:multiLevelType w:val="hybridMultilevel"/>
    <w:tmpl w:val="ED2E8B5E"/>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4E43E1"/>
    <w:multiLevelType w:val="hybridMultilevel"/>
    <w:tmpl w:val="5BC881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7B4D8A"/>
    <w:multiLevelType w:val="hybridMultilevel"/>
    <w:tmpl w:val="101E92C4"/>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855076E"/>
    <w:multiLevelType w:val="hybridMultilevel"/>
    <w:tmpl w:val="FEA243DC"/>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F4934EF"/>
    <w:multiLevelType w:val="hybridMultilevel"/>
    <w:tmpl w:val="78F6EDC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FD662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700A2F"/>
    <w:multiLevelType w:val="hybridMultilevel"/>
    <w:tmpl w:val="91C0F424"/>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8762B8"/>
    <w:multiLevelType w:val="hybridMultilevel"/>
    <w:tmpl w:val="24124958"/>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9238C9"/>
    <w:multiLevelType w:val="hybridMultilevel"/>
    <w:tmpl w:val="C8BA1E5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3"/>
  </w:num>
  <w:num w:numId="7">
    <w:abstractNumId w:val="2"/>
  </w:num>
  <w:num w:numId="8">
    <w:abstractNumId w:val="11"/>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8"/>
    <w:rsid w:val="000C58C5"/>
    <w:rsid w:val="00121035"/>
    <w:rsid w:val="00197A9D"/>
    <w:rsid w:val="001D3BCB"/>
    <w:rsid w:val="001E2993"/>
    <w:rsid w:val="001E5482"/>
    <w:rsid w:val="001F5FB1"/>
    <w:rsid w:val="001F7DB1"/>
    <w:rsid w:val="00260B07"/>
    <w:rsid w:val="00276EF4"/>
    <w:rsid w:val="00281961"/>
    <w:rsid w:val="002A2456"/>
    <w:rsid w:val="002C6AD4"/>
    <w:rsid w:val="003128A9"/>
    <w:rsid w:val="003E2287"/>
    <w:rsid w:val="003F74AD"/>
    <w:rsid w:val="00616323"/>
    <w:rsid w:val="007A4699"/>
    <w:rsid w:val="00895842"/>
    <w:rsid w:val="009265E8"/>
    <w:rsid w:val="009D203F"/>
    <w:rsid w:val="009E3428"/>
    <w:rsid w:val="00A9760A"/>
    <w:rsid w:val="00AD7EFC"/>
    <w:rsid w:val="00AF2CC6"/>
    <w:rsid w:val="00B044B0"/>
    <w:rsid w:val="00B13013"/>
    <w:rsid w:val="00B16214"/>
    <w:rsid w:val="00B34109"/>
    <w:rsid w:val="00CF4B1A"/>
    <w:rsid w:val="00D36E15"/>
    <w:rsid w:val="00D727F3"/>
    <w:rsid w:val="00DA72AE"/>
    <w:rsid w:val="00DC76FE"/>
    <w:rsid w:val="00E01148"/>
    <w:rsid w:val="00E037BF"/>
    <w:rsid w:val="00E127E8"/>
    <w:rsid w:val="00E5496E"/>
    <w:rsid w:val="00F24761"/>
    <w:rsid w:val="00F408E1"/>
    <w:rsid w:val="00FC3AE9"/>
    <w:rsid w:val="00FF57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27E8"/>
    <w:pPr>
      <w:spacing w:after="160" w:line="259" w:lineRule="auto"/>
    </w:pPr>
  </w:style>
  <w:style w:type="paragraph" w:styleId="Cmsor5">
    <w:name w:val="heading 5"/>
    <w:basedOn w:val="Norml"/>
    <w:next w:val="Norml"/>
    <w:link w:val="Cmsor5Char"/>
    <w:uiPriority w:val="99"/>
    <w:unhideWhenUsed/>
    <w:qFormat/>
    <w:rsid w:val="002A2456"/>
    <w:pPr>
      <w:spacing w:after="0" w:line="240" w:lineRule="auto"/>
      <w:jc w:val="both"/>
      <w:outlineLvl w:val="4"/>
    </w:pPr>
    <w:rPr>
      <w:rFonts w:ascii="Times New Roman" w:eastAsia="Times New Roman" w:hAnsi="Times New Roman" w:cs="Times New Roman"/>
      <w:i/>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rsid w:val="002A2456"/>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2A2456"/>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2A2456"/>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E2993"/>
    <w:rPr>
      <w:sz w:val="16"/>
      <w:szCs w:val="16"/>
    </w:rPr>
  </w:style>
  <w:style w:type="paragraph" w:styleId="Jegyzetszveg">
    <w:name w:val="annotation text"/>
    <w:basedOn w:val="Norml"/>
    <w:link w:val="JegyzetszvegChar"/>
    <w:uiPriority w:val="99"/>
    <w:semiHidden/>
    <w:unhideWhenUsed/>
    <w:rsid w:val="001E2993"/>
    <w:pPr>
      <w:spacing w:line="240" w:lineRule="auto"/>
    </w:pPr>
    <w:rPr>
      <w:sz w:val="20"/>
      <w:szCs w:val="20"/>
    </w:rPr>
  </w:style>
  <w:style w:type="character" w:customStyle="1" w:styleId="JegyzetszvegChar">
    <w:name w:val="Jegyzetszöveg Char"/>
    <w:basedOn w:val="Bekezdsalapbettpusa"/>
    <w:link w:val="Jegyzetszveg"/>
    <w:uiPriority w:val="99"/>
    <w:semiHidden/>
    <w:rsid w:val="001E2993"/>
    <w:rPr>
      <w:sz w:val="20"/>
      <w:szCs w:val="20"/>
    </w:rPr>
  </w:style>
  <w:style w:type="paragraph" w:styleId="Megjegyzstrgya">
    <w:name w:val="annotation subject"/>
    <w:basedOn w:val="Jegyzetszveg"/>
    <w:next w:val="Jegyzetszveg"/>
    <w:link w:val="MegjegyzstrgyaChar"/>
    <w:uiPriority w:val="99"/>
    <w:semiHidden/>
    <w:unhideWhenUsed/>
    <w:rsid w:val="001E2993"/>
    <w:rPr>
      <w:b/>
      <w:bCs/>
    </w:rPr>
  </w:style>
  <w:style w:type="character" w:customStyle="1" w:styleId="MegjegyzstrgyaChar">
    <w:name w:val="Megjegyzés tárgya Char"/>
    <w:basedOn w:val="JegyzetszvegChar"/>
    <w:link w:val="Megjegyzstrgya"/>
    <w:uiPriority w:val="99"/>
    <w:semiHidden/>
    <w:rsid w:val="001E2993"/>
    <w:rPr>
      <w:b/>
      <w:bCs/>
      <w:sz w:val="20"/>
      <w:szCs w:val="20"/>
    </w:rPr>
  </w:style>
  <w:style w:type="paragraph" w:styleId="Buborkszveg">
    <w:name w:val="Balloon Text"/>
    <w:basedOn w:val="Norml"/>
    <w:link w:val="BuborkszvegChar"/>
    <w:uiPriority w:val="99"/>
    <w:semiHidden/>
    <w:unhideWhenUsed/>
    <w:rsid w:val="001E29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2993"/>
    <w:rPr>
      <w:rFonts w:ascii="Segoe UI" w:hAnsi="Segoe UI" w:cs="Segoe UI"/>
      <w:sz w:val="18"/>
      <w:szCs w:val="18"/>
    </w:rPr>
  </w:style>
  <w:style w:type="paragraph" w:styleId="lfej">
    <w:name w:val="header"/>
    <w:basedOn w:val="Norml"/>
    <w:link w:val="lfejChar"/>
    <w:uiPriority w:val="99"/>
    <w:unhideWhenUsed/>
    <w:rsid w:val="007A4699"/>
    <w:pPr>
      <w:tabs>
        <w:tab w:val="center" w:pos="4536"/>
        <w:tab w:val="right" w:pos="9072"/>
      </w:tabs>
      <w:spacing w:after="0" w:line="240" w:lineRule="auto"/>
    </w:pPr>
  </w:style>
  <w:style w:type="character" w:customStyle="1" w:styleId="lfejChar">
    <w:name w:val="Élőfej Char"/>
    <w:basedOn w:val="Bekezdsalapbettpusa"/>
    <w:link w:val="lfej"/>
    <w:uiPriority w:val="99"/>
    <w:rsid w:val="007A4699"/>
  </w:style>
  <w:style w:type="paragraph" w:styleId="llb">
    <w:name w:val="footer"/>
    <w:basedOn w:val="Norml"/>
    <w:link w:val="llbChar"/>
    <w:uiPriority w:val="99"/>
    <w:unhideWhenUsed/>
    <w:rsid w:val="007A4699"/>
    <w:pPr>
      <w:tabs>
        <w:tab w:val="center" w:pos="4536"/>
        <w:tab w:val="right" w:pos="9072"/>
      </w:tabs>
      <w:spacing w:after="0" w:line="240" w:lineRule="auto"/>
    </w:pPr>
  </w:style>
  <w:style w:type="character" w:customStyle="1" w:styleId="llbChar">
    <w:name w:val="Élőláb Char"/>
    <w:basedOn w:val="Bekezdsalapbettpusa"/>
    <w:link w:val="llb"/>
    <w:uiPriority w:val="99"/>
    <w:rsid w:val="007A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21670</Characters>
  <Application>Microsoft Office Word</Application>
  <DocSecurity>0</DocSecurity>
  <Lines>637</Lines>
  <Paragraphs>298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2020-06-29T14:57:00Z</dcterms:created>
  <dcterms:modified xsi:type="dcterms:W3CDTF">2020-06-29T14:57:00Z</dcterms:modified>
</cp:coreProperties>
</file>