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22" w:rsidRPr="0049649A" w:rsidRDefault="008F6774">
      <w:pPr>
        <w:rPr>
          <w:rFonts w:ascii="Arial" w:hAnsi="Arial" w:cs="Arial"/>
          <w:sz w:val="40"/>
          <w:szCs w:val="40"/>
        </w:rPr>
      </w:pPr>
      <w:r w:rsidRPr="0049649A">
        <w:rPr>
          <w:rFonts w:ascii="Arial" w:hAnsi="Arial" w:cs="Arial"/>
          <w:sz w:val="40"/>
          <w:szCs w:val="40"/>
        </w:rPr>
        <w:t>Ajánlások terhesek kezelése esetén</w:t>
      </w:r>
    </w:p>
    <w:p w:rsidR="00A0468F" w:rsidRDefault="00A0468F">
      <w:pPr>
        <w:rPr>
          <w:rFonts w:ascii="Arial" w:hAnsi="Arial" w:cs="Arial"/>
          <w:sz w:val="20"/>
          <w:szCs w:val="20"/>
        </w:rPr>
      </w:pPr>
    </w:p>
    <w:p w:rsidR="00A0468F" w:rsidRDefault="00A0468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8"/>
          <w:szCs w:val="28"/>
        </w:rPr>
        <w:t>Parodontológiai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kezelések:</w:t>
      </w:r>
    </w:p>
    <w:p w:rsidR="00A0468F" w:rsidRDefault="00A0468F">
      <w:pPr>
        <w:rPr>
          <w:rFonts w:ascii="Arial" w:hAnsi="Arial" w:cs="Arial"/>
          <w:sz w:val="20"/>
          <w:szCs w:val="20"/>
        </w:rPr>
      </w:pPr>
    </w:p>
    <w:p w:rsidR="00A0468F" w:rsidRDefault="00A0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EFP-ajánlások szerint:</w:t>
      </w:r>
      <w:bookmarkStart w:id="0" w:name="_GoBack"/>
      <w:bookmarkEnd w:id="0"/>
    </w:p>
    <w:p w:rsidR="00A0468F" w:rsidRDefault="00A0468F">
      <w:r>
        <w:rPr>
          <w:rFonts w:ascii="Arial" w:hAnsi="Arial" w:cs="Arial"/>
          <w:sz w:val="20"/>
          <w:szCs w:val="20"/>
        </w:rPr>
        <w:t xml:space="preserve">1: Nem sebészi tasaktisztítások a terhesség ideje alatt </w:t>
      </w:r>
      <w:proofErr w:type="spellStart"/>
      <w:r>
        <w:rPr>
          <w:rFonts w:ascii="Arial" w:hAnsi="Arial" w:cs="Arial"/>
          <w:sz w:val="20"/>
          <w:szCs w:val="20"/>
        </w:rPr>
        <w:t>elvégezhetőek</w:t>
      </w:r>
      <w:proofErr w:type="spellEnd"/>
      <w:r>
        <w:rPr>
          <w:rFonts w:ascii="Arial" w:hAnsi="Arial" w:cs="Arial"/>
          <w:sz w:val="20"/>
          <w:szCs w:val="20"/>
        </w:rPr>
        <w:t xml:space="preserve">, különösen a második trimeszterben. Ezt azonban érdemes figyelni a jövőben, ugyanis többen felvetik, hogy </w:t>
      </w:r>
      <w:r w:rsidR="008520A1">
        <w:rPr>
          <w:rFonts w:ascii="Arial" w:hAnsi="Arial" w:cs="Arial"/>
          <w:sz w:val="20"/>
          <w:szCs w:val="20"/>
        </w:rPr>
        <w:t xml:space="preserve">érdemes lenne vizsgálni a kezelések </w:t>
      </w:r>
      <w:proofErr w:type="spellStart"/>
      <w:r w:rsidR="008520A1">
        <w:rPr>
          <w:rFonts w:ascii="Arial" w:hAnsi="Arial" w:cs="Arial"/>
          <w:sz w:val="20"/>
          <w:szCs w:val="20"/>
        </w:rPr>
        <w:t>időtargetálást</w:t>
      </w:r>
      <w:proofErr w:type="spellEnd"/>
      <w:r w:rsidR="008520A1">
        <w:rPr>
          <w:rFonts w:ascii="Arial" w:hAnsi="Arial" w:cs="Arial"/>
          <w:sz w:val="20"/>
          <w:szCs w:val="20"/>
        </w:rPr>
        <w:t xml:space="preserve"> inkább az első trimeszterre, hogy minél kevesebb bakteriális behatás érje a magzatot (</w:t>
      </w:r>
      <w:hyperlink r:id="rId4" w:history="1">
        <w:r w:rsidR="008520A1">
          <w:rPr>
            <w:rStyle w:val="Hiperhivatkozs"/>
          </w:rPr>
          <w:t>https://www.efp.org/publications/projects/oralhealthandpregnancy/features/periodontal-treatment-safe-when-pregnant/</w:t>
        </w:r>
      </w:hyperlink>
      <w:r w:rsidR="008520A1">
        <w:t>)</w:t>
      </w:r>
    </w:p>
    <w:p w:rsidR="008520A1" w:rsidRDefault="008520A1"/>
    <w:p w:rsidR="008520A1" w:rsidRDefault="00852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 T</w:t>
      </w:r>
      <w:r w:rsidRPr="008520A1">
        <w:rPr>
          <w:rFonts w:ascii="Arial" w:hAnsi="Arial" w:cs="Arial"/>
          <w:sz w:val="20"/>
          <w:szCs w:val="20"/>
        </w:rPr>
        <w:t xml:space="preserve">erhességi </w:t>
      </w:r>
      <w:proofErr w:type="spellStart"/>
      <w:r w:rsidRPr="008520A1">
        <w:rPr>
          <w:rFonts w:ascii="Arial" w:hAnsi="Arial" w:cs="Arial"/>
          <w:sz w:val="20"/>
          <w:szCs w:val="20"/>
        </w:rPr>
        <w:t>epulis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megléte esetén a sebészi eltávolítást (amennyiben szükséges), a szülés utánra érdemes időzíteni. Terhesség ideje alatt nem sebészi tasaktisztítás javasolt.</w:t>
      </w:r>
    </w:p>
    <w:p w:rsidR="008520A1" w:rsidRDefault="008520A1">
      <w:pPr>
        <w:rPr>
          <w:rFonts w:ascii="Arial" w:hAnsi="Arial" w:cs="Arial"/>
          <w:sz w:val="20"/>
          <w:szCs w:val="20"/>
        </w:rPr>
      </w:pPr>
    </w:p>
    <w:p w:rsidR="008520A1" w:rsidRPr="008520A1" w:rsidRDefault="00852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3: Tasakműtétek, sebészeti beavatkozások lehetőség szerint </w:t>
      </w:r>
      <w:proofErr w:type="spellStart"/>
      <w:r>
        <w:rPr>
          <w:rFonts w:ascii="Arial" w:hAnsi="Arial" w:cs="Arial"/>
          <w:sz w:val="20"/>
          <w:szCs w:val="20"/>
        </w:rPr>
        <w:t>kerülendőek</w:t>
      </w:r>
      <w:proofErr w:type="spellEnd"/>
      <w:r>
        <w:rPr>
          <w:rFonts w:ascii="Arial" w:hAnsi="Arial" w:cs="Arial"/>
          <w:sz w:val="20"/>
          <w:szCs w:val="20"/>
        </w:rPr>
        <w:t xml:space="preserve"> a terhesség ideje alatt, végszükség esetén a második, harmadik trimeszterre érdemes időzíteni.</w:t>
      </w:r>
    </w:p>
    <w:p w:rsidR="008F6774" w:rsidRPr="003020E7" w:rsidRDefault="008F6774">
      <w:pPr>
        <w:rPr>
          <w:rFonts w:ascii="Arial" w:hAnsi="Arial" w:cs="Arial"/>
          <w:sz w:val="28"/>
          <w:szCs w:val="28"/>
        </w:rPr>
      </w:pPr>
    </w:p>
    <w:p w:rsidR="00253128" w:rsidRDefault="008F6774">
      <w:pPr>
        <w:rPr>
          <w:rFonts w:ascii="Arial" w:hAnsi="Arial" w:cs="Arial"/>
          <w:b/>
          <w:sz w:val="20"/>
          <w:szCs w:val="20"/>
        </w:rPr>
      </w:pPr>
      <w:r w:rsidRPr="003020E7">
        <w:rPr>
          <w:rFonts w:ascii="Arial" w:hAnsi="Arial" w:cs="Arial"/>
          <w:b/>
          <w:sz w:val="28"/>
          <w:szCs w:val="28"/>
        </w:rPr>
        <w:t>Radiológiai vizsgálatok</w:t>
      </w:r>
      <w:r w:rsidRPr="003020E7">
        <w:rPr>
          <w:rFonts w:ascii="Arial" w:hAnsi="Arial" w:cs="Arial"/>
          <w:b/>
          <w:sz w:val="20"/>
          <w:szCs w:val="20"/>
        </w:rPr>
        <w:t>:</w:t>
      </w:r>
    </w:p>
    <w:p w:rsidR="008F6774" w:rsidRPr="003020E7" w:rsidRDefault="008F6774">
      <w:pPr>
        <w:rPr>
          <w:rFonts w:ascii="Arial" w:hAnsi="Arial" w:cs="Arial"/>
          <w:sz w:val="20"/>
          <w:szCs w:val="20"/>
        </w:rPr>
      </w:pPr>
      <w:r w:rsidRPr="003020E7">
        <w:rPr>
          <w:rFonts w:ascii="Arial" w:hAnsi="Arial" w:cs="Arial"/>
          <w:sz w:val="20"/>
          <w:szCs w:val="20"/>
        </w:rPr>
        <w:t>ALARA-elv, de nem jelenti azt, hogy nem lehet röntgenvizsgálatot kérni egy várandós nő számára.</w:t>
      </w:r>
      <w:r w:rsidR="003020E7">
        <w:rPr>
          <w:rFonts w:ascii="Arial" w:hAnsi="Arial" w:cs="Arial"/>
          <w:sz w:val="20"/>
          <w:szCs w:val="20"/>
        </w:rPr>
        <w:t xml:space="preserve"> Megfelelő sugárvédelmi irányelvek betartásával, lehetőleg csak a kérdéses fogakról készített röntgennel, csak abban az esetben, ha más diagnosztikai eljárással nem lehet </w:t>
      </w:r>
      <w:proofErr w:type="gramStart"/>
      <w:r w:rsidR="003020E7">
        <w:rPr>
          <w:rFonts w:ascii="Arial" w:hAnsi="Arial" w:cs="Arial"/>
          <w:sz w:val="20"/>
          <w:szCs w:val="20"/>
        </w:rPr>
        <w:t>korrekt</w:t>
      </w:r>
      <w:proofErr w:type="gramEnd"/>
      <w:r w:rsidR="003020E7">
        <w:rPr>
          <w:rFonts w:ascii="Arial" w:hAnsi="Arial" w:cs="Arial"/>
          <w:sz w:val="20"/>
          <w:szCs w:val="20"/>
        </w:rPr>
        <w:t xml:space="preserve"> diagnózist felállítani.</w:t>
      </w:r>
    </w:p>
    <w:p w:rsidR="008F6774" w:rsidRDefault="008F6774">
      <w:pPr>
        <w:rPr>
          <w:rFonts w:ascii="Arial" w:hAnsi="Arial" w:cs="Arial"/>
          <w:sz w:val="20"/>
          <w:szCs w:val="20"/>
        </w:rPr>
      </w:pPr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Most important is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pregnancy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never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reason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avoid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postpone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clinically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justified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dental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radiographic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examination.</w:t>
      </w:r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hyperlink r:id="rId5" w:history="1">
        <w:r w:rsidRPr="003020E7">
          <w:rPr>
            <w:rStyle w:val="Hiperhivatkozs"/>
            <w:rFonts w:ascii="Arial" w:hAnsi="Arial" w:cs="Arial"/>
            <w:sz w:val="20"/>
            <w:szCs w:val="20"/>
          </w:rPr>
          <w:t>https://www.ncbi.nlm.nih.gov/pmc/articles/PMC5083886/?fbclid=IwAR0z7-kf89L9zBngh-T4A9x3HtGKiYr-iCZq7Zsy_qh4kDdRCOUfojyj90s</w:t>
        </w:r>
      </w:hyperlink>
    </w:p>
    <w:p w:rsidR="003020E7" w:rsidRDefault="003020E7">
      <w:pPr>
        <w:rPr>
          <w:rFonts w:ascii="Arial" w:hAnsi="Arial" w:cs="Arial"/>
          <w:sz w:val="20"/>
          <w:szCs w:val="20"/>
        </w:rPr>
      </w:pPr>
    </w:p>
    <w:p w:rsidR="003020E7" w:rsidRDefault="003020E7">
      <w:pPr>
        <w:rPr>
          <w:rFonts w:ascii="Arial" w:hAnsi="Arial" w:cs="Arial"/>
          <w:sz w:val="20"/>
          <w:szCs w:val="20"/>
        </w:rPr>
      </w:pPr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However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radiation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dose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embryo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foetus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likely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result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from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any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diagnostic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procedures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should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present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risk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causing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any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deterministic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effects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such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foetal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death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malformation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growth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retardation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retardation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Data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from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indicate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foetal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doses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from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properly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conducted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diagnostic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radiology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examination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not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result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any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deterministic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effects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Furthermore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foetal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doses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presented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shows a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negligible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risk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causing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radiation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induced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hereditary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effect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descendants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unborn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child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compared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natural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frequency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genetic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disease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manifested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birth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human </w:t>
      </w:r>
      <w:proofErr w:type="spellStart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populations</w:t>
      </w:r>
      <w:proofErr w:type="spellEnd"/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302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” </w:t>
      </w:r>
      <w:hyperlink r:id="rId6" w:history="1">
        <w:r w:rsidRPr="003020E7">
          <w:rPr>
            <w:rStyle w:val="Hiperhivatkozs"/>
            <w:rFonts w:ascii="Arial" w:hAnsi="Arial" w:cs="Arial"/>
            <w:sz w:val="20"/>
            <w:szCs w:val="20"/>
          </w:rPr>
          <w:t>https://www.ncbi.nlm.nih.gov/pmc/articles/PMC4045527/</w:t>
        </w:r>
      </w:hyperlink>
    </w:p>
    <w:p w:rsidR="003020E7" w:rsidRPr="003020E7" w:rsidRDefault="003020E7">
      <w:pPr>
        <w:rPr>
          <w:rFonts w:ascii="Arial" w:hAnsi="Arial" w:cs="Arial"/>
          <w:sz w:val="20"/>
          <w:szCs w:val="20"/>
        </w:rPr>
      </w:pPr>
    </w:p>
    <w:p w:rsidR="008F6774" w:rsidRPr="003020E7" w:rsidRDefault="008F6774">
      <w:pPr>
        <w:rPr>
          <w:rFonts w:ascii="Arial" w:hAnsi="Arial" w:cs="Arial"/>
          <w:color w:val="1D2129"/>
          <w:sz w:val="20"/>
          <w:szCs w:val="20"/>
          <w:shd w:val="clear" w:color="auto" w:fill="EFF1F3"/>
        </w:rPr>
      </w:pPr>
      <w:r w:rsidRPr="003020E7">
        <w:rPr>
          <w:rFonts w:ascii="Arial" w:hAnsi="Arial" w:cs="Arial"/>
          <w:sz w:val="20"/>
          <w:szCs w:val="20"/>
        </w:rPr>
        <w:t>21/2018-as EMMI-rendelet</w:t>
      </w:r>
      <w:r w:rsidR="003020E7" w:rsidRPr="003020E7">
        <w:rPr>
          <w:rFonts w:ascii="Arial" w:hAnsi="Arial" w:cs="Arial"/>
          <w:sz w:val="20"/>
          <w:szCs w:val="20"/>
        </w:rPr>
        <w:t>, 21- es paragrafus, 3-as bekezdés</w:t>
      </w:r>
      <w:r w:rsidRPr="003020E7">
        <w:rPr>
          <w:rFonts w:ascii="Arial" w:hAnsi="Arial" w:cs="Arial"/>
          <w:sz w:val="20"/>
          <w:szCs w:val="20"/>
        </w:rPr>
        <w:t xml:space="preserve">: </w:t>
      </w:r>
      <w:r w:rsidR="003020E7" w:rsidRPr="003020E7">
        <w:rPr>
          <w:rFonts w:ascii="Arial" w:hAnsi="Arial" w:cs="Arial"/>
          <w:sz w:val="20"/>
          <w:szCs w:val="20"/>
        </w:rPr>
        <w:t>„</w:t>
      </w:r>
      <w:r w:rsidRPr="003020E7">
        <w:rPr>
          <w:rFonts w:ascii="Arial" w:hAnsi="Arial" w:cs="Arial"/>
          <w:color w:val="1D2129"/>
          <w:sz w:val="20"/>
          <w:szCs w:val="20"/>
          <w:shd w:val="clear" w:color="auto" w:fill="EFF1F3"/>
        </w:rPr>
        <w:t> Várandósság esetén, vagy ha annak lehetősége nem kizárható, az anya és a magzat sugárvédelme érdekében különös figyelmet kell fordítani az ionizáló sugárzással járó orvosi eljárás indokoltságára, annak sürgősségére és a sugárterhelés mértékére, főként, ha az hasi vagy medencei tájékot érint.</w:t>
      </w:r>
      <w:r w:rsidR="003020E7" w:rsidRPr="003020E7">
        <w:rPr>
          <w:rFonts w:ascii="Arial" w:hAnsi="Arial" w:cs="Arial"/>
          <w:color w:val="1D2129"/>
          <w:sz w:val="20"/>
          <w:szCs w:val="20"/>
          <w:shd w:val="clear" w:color="auto" w:fill="EFF1F3"/>
        </w:rPr>
        <w:t>”</w:t>
      </w:r>
      <w:r w:rsidR="003020E7">
        <w:rPr>
          <w:rFonts w:ascii="Arial" w:hAnsi="Arial" w:cs="Arial"/>
          <w:color w:val="1D2129"/>
          <w:sz w:val="20"/>
          <w:szCs w:val="20"/>
          <w:shd w:val="clear" w:color="auto" w:fill="EFF1F3"/>
        </w:rPr>
        <w:t>.  Tehát az EMMI-rendelet sem tiltó hatályú.</w:t>
      </w:r>
    </w:p>
    <w:p w:rsidR="003020E7" w:rsidRDefault="003020E7">
      <w:pPr>
        <w:rPr>
          <w:rFonts w:ascii="Arial" w:hAnsi="Arial" w:cs="Arial"/>
          <w:color w:val="1D2129"/>
          <w:sz w:val="20"/>
          <w:szCs w:val="20"/>
          <w:shd w:val="clear" w:color="auto" w:fill="EFF1F3"/>
        </w:rPr>
      </w:pPr>
      <w:r w:rsidRPr="003020E7">
        <w:rPr>
          <w:rFonts w:ascii="Arial" w:hAnsi="Arial" w:cs="Arial"/>
          <w:color w:val="1D2129"/>
          <w:sz w:val="20"/>
          <w:szCs w:val="20"/>
          <w:shd w:val="clear" w:color="auto" w:fill="EFF1F3"/>
        </w:rPr>
        <w:t>Háttérsugárzás, összevetve egy egyfogas röntgen sugárdózisával:</w:t>
      </w:r>
    </w:p>
    <w:p w:rsidR="003020E7" w:rsidRDefault="003020E7">
      <w:r>
        <w:rPr>
          <w:rFonts w:ascii="Helvetica" w:hAnsi="Helvetica" w:cs="Helvetica"/>
          <w:noProof/>
          <w:color w:val="1D2129"/>
          <w:sz w:val="20"/>
          <w:szCs w:val="20"/>
          <w:shd w:val="clear" w:color="auto" w:fill="EFF1F3"/>
          <w:lang w:eastAsia="hu-HU"/>
        </w:rPr>
        <w:lastRenderedPageBreak/>
        <w:drawing>
          <wp:inline distT="0" distB="0" distL="0" distR="0">
            <wp:extent cx="2887954" cy="4133850"/>
            <wp:effectExtent l="0" t="0" r="8255" b="0"/>
            <wp:docPr id="1" name="Kép 1" descr="C:\Users\Paro414\Downloads\sugárterhel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414\Downloads\sugárterhelé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17" cy="415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E7" w:rsidRDefault="003020E7"/>
    <w:p w:rsidR="003020E7" w:rsidRPr="008520A1" w:rsidRDefault="003020E7">
      <w:pPr>
        <w:rPr>
          <w:rFonts w:ascii="Arial" w:hAnsi="Arial" w:cs="Arial"/>
          <w:b/>
          <w:sz w:val="20"/>
          <w:szCs w:val="20"/>
        </w:rPr>
      </w:pPr>
      <w:r w:rsidRPr="008520A1">
        <w:rPr>
          <w:rFonts w:ascii="Arial" w:hAnsi="Arial" w:cs="Arial"/>
          <w:b/>
          <w:sz w:val="28"/>
          <w:szCs w:val="28"/>
        </w:rPr>
        <w:t>Gyógyszerhasználat:</w:t>
      </w:r>
    </w:p>
    <w:p w:rsidR="003020E7" w:rsidRPr="008520A1" w:rsidRDefault="00A2071F">
      <w:pPr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Aspirin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használata NEM AJÁNLOTT!</w:t>
      </w:r>
    </w:p>
    <w:p w:rsidR="00A2071F" w:rsidRPr="008520A1" w:rsidRDefault="00A2071F">
      <w:pPr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Biztonságos antibiotikumok: penicillinek (</w:t>
      </w:r>
      <w:proofErr w:type="spellStart"/>
      <w:r w:rsidRPr="008520A1">
        <w:rPr>
          <w:rFonts w:ascii="Arial" w:hAnsi="Arial" w:cs="Arial"/>
          <w:sz w:val="20"/>
          <w:szCs w:val="20"/>
        </w:rPr>
        <w:t>amoxicillin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ampicillin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8520A1">
        <w:rPr>
          <w:rFonts w:ascii="Arial" w:hAnsi="Arial" w:cs="Arial"/>
          <w:sz w:val="20"/>
          <w:szCs w:val="20"/>
        </w:rPr>
        <w:t>erythromycin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clindamycin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cefalosporinok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cefaclor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cefalexin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A0468F" w:rsidRPr="008520A1" w:rsidRDefault="00A0468F">
      <w:pPr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 xml:space="preserve">NEM BIZTONSÁGOS: </w:t>
      </w:r>
      <w:proofErr w:type="spellStart"/>
      <w:r w:rsidRPr="008520A1">
        <w:rPr>
          <w:rFonts w:ascii="Arial" w:hAnsi="Arial" w:cs="Arial"/>
          <w:sz w:val="20"/>
          <w:szCs w:val="20"/>
        </w:rPr>
        <w:t>metronidazol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tetracyclin</w:t>
      </w:r>
      <w:proofErr w:type="spellEnd"/>
    </w:p>
    <w:p w:rsidR="00A2071F" w:rsidRPr="008520A1" w:rsidRDefault="00A2071F">
      <w:pPr>
        <w:rPr>
          <w:rFonts w:ascii="Arial" w:hAnsi="Arial" w:cs="Arial"/>
          <w:sz w:val="20"/>
          <w:szCs w:val="20"/>
        </w:rPr>
      </w:pPr>
    </w:p>
    <w:p w:rsidR="00A2071F" w:rsidRPr="008520A1" w:rsidRDefault="00A2071F">
      <w:pPr>
        <w:rPr>
          <w:rFonts w:ascii="Arial" w:hAnsi="Arial" w:cs="Arial"/>
        </w:rPr>
      </w:pPr>
      <w:r w:rsidRPr="008520A1">
        <w:rPr>
          <w:rFonts w:ascii="Arial" w:hAnsi="Arial" w:cs="Arial"/>
          <w:sz w:val="20"/>
          <w:szCs w:val="20"/>
        </w:rPr>
        <w:t>Fogászati érzéstelenítők használata: „</w:t>
      </w:r>
      <w:proofErr w:type="spellStart"/>
      <w:r w:rsidRPr="008520A1">
        <w:rPr>
          <w:rFonts w:ascii="Arial" w:hAnsi="Arial" w:cs="Arial"/>
          <w:sz w:val="20"/>
          <w:szCs w:val="20"/>
        </w:rPr>
        <w:t>When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administered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pregnant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both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woman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her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fetus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become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exposed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Therefore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effects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mother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fetus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must be </w:t>
      </w:r>
      <w:proofErr w:type="spellStart"/>
      <w:r w:rsidRPr="008520A1">
        <w:rPr>
          <w:rFonts w:ascii="Arial" w:hAnsi="Arial" w:cs="Arial"/>
          <w:sz w:val="20"/>
          <w:szCs w:val="20"/>
        </w:rPr>
        <w:t>considered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when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planning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improve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mother's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health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Fortunately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lidocaine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which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most </w:t>
      </w:r>
      <w:proofErr w:type="spellStart"/>
      <w:r w:rsidRPr="008520A1">
        <w:rPr>
          <w:rFonts w:ascii="Arial" w:hAnsi="Arial" w:cs="Arial"/>
          <w:sz w:val="20"/>
          <w:szCs w:val="20"/>
        </w:rPr>
        <w:t>commonly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is </w:t>
      </w:r>
      <w:proofErr w:type="spellStart"/>
      <w:r w:rsidRPr="008520A1">
        <w:rPr>
          <w:rFonts w:ascii="Arial" w:hAnsi="Arial" w:cs="Arial"/>
          <w:sz w:val="20"/>
          <w:szCs w:val="20"/>
        </w:rPr>
        <w:t>under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category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B and </w:t>
      </w:r>
      <w:proofErr w:type="spellStart"/>
      <w:r w:rsidRPr="008520A1">
        <w:rPr>
          <w:rFonts w:ascii="Arial" w:hAnsi="Arial" w:cs="Arial"/>
          <w:sz w:val="20"/>
          <w:szCs w:val="20"/>
        </w:rPr>
        <w:t>considered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have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520A1">
        <w:rPr>
          <w:rFonts w:ascii="Arial" w:hAnsi="Arial" w:cs="Arial"/>
          <w:sz w:val="20"/>
          <w:szCs w:val="20"/>
        </w:rPr>
        <w:t>almost</w:t>
      </w:r>
      <w:proofErr w:type="gramEnd"/>
      <w:r w:rsidRPr="008520A1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8520A1">
        <w:rPr>
          <w:rFonts w:ascii="Arial" w:hAnsi="Arial" w:cs="Arial"/>
          <w:sz w:val="20"/>
          <w:szCs w:val="20"/>
        </w:rPr>
        <w:t>negative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effect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mother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fetus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8520A1">
        <w:rPr>
          <w:rFonts w:ascii="Arial" w:hAnsi="Arial" w:cs="Arial"/>
          <w:sz w:val="20"/>
          <w:szCs w:val="20"/>
        </w:rPr>
        <w:t>addition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likelihood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pregnant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negatively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affecting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their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fetuses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appears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8520A1">
        <w:rPr>
          <w:rFonts w:ascii="Arial" w:hAnsi="Arial" w:cs="Arial"/>
          <w:sz w:val="20"/>
          <w:szCs w:val="20"/>
        </w:rPr>
        <w:t>low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Therefore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pregnant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reluctant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undergo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dentists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reluctant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perform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when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health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pregnant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8520A1">
        <w:rPr>
          <w:rFonts w:ascii="Arial" w:hAnsi="Arial" w:cs="Arial"/>
          <w:sz w:val="20"/>
          <w:szCs w:val="20"/>
        </w:rPr>
        <w:t>been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compromised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by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physiological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changes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related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520A1">
        <w:rPr>
          <w:rFonts w:ascii="Arial" w:hAnsi="Arial" w:cs="Arial"/>
          <w:sz w:val="20"/>
          <w:szCs w:val="20"/>
        </w:rPr>
        <w:t>thus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delaying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needed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8520A1">
        <w:rPr>
          <w:rFonts w:ascii="Arial" w:hAnsi="Arial" w:cs="Arial"/>
          <w:sz w:val="20"/>
          <w:szCs w:val="20"/>
        </w:rPr>
        <w:t>not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advisable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However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as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exposure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drugs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first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trimester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has a </w:t>
      </w:r>
      <w:proofErr w:type="spellStart"/>
      <w:r w:rsidRPr="008520A1">
        <w:rPr>
          <w:rFonts w:ascii="Arial" w:hAnsi="Arial" w:cs="Arial"/>
          <w:sz w:val="20"/>
          <w:szCs w:val="20"/>
        </w:rPr>
        <w:t>high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risk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teratogenic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effects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dental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8520A1">
        <w:rPr>
          <w:rFonts w:ascii="Arial" w:hAnsi="Arial" w:cs="Arial"/>
          <w:sz w:val="20"/>
          <w:szCs w:val="20"/>
        </w:rPr>
        <w:t>advised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after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second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trimester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long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it is a </w:t>
      </w:r>
      <w:proofErr w:type="spellStart"/>
      <w:r w:rsidRPr="008520A1">
        <w:rPr>
          <w:rFonts w:ascii="Arial" w:hAnsi="Arial" w:cs="Arial"/>
          <w:sz w:val="20"/>
          <w:szCs w:val="20"/>
        </w:rPr>
        <w:t>regular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not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8520A1">
        <w:rPr>
          <w:rFonts w:ascii="Arial" w:hAnsi="Arial" w:cs="Arial"/>
          <w:sz w:val="20"/>
          <w:szCs w:val="20"/>
        </w:rPr>
        <w:t>emergency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treatment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8520A1">
        <w:rPr>
          <w:rFonts w:ascii="Arial" w:hAnsi="Arial" w:cs="Arial"/>
          <w:sz w:val="20"/>
          <w:szCs w:val="20"/>
        </w:rPr>
        <w:t>addition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pregnant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who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have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contracted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conditions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that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induce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serious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pregnancy-related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complications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are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also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Pr="008520A1">
        <w:rPr>
          <w:rFonts w:ascii="Arial" w:hAnsi="Arial" w:cs="Arial"/>
          <w:sz w:val="20"/>
          <w:szCs w:val="20"/>
        </w:rPr>
        <w:t>prone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experience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side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effects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from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even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commonly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administered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doses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Thus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dose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8520A1">
        <w:rPr>
          <w:rFonts w:ascii="Arial" w:hAnsi="Arial" w:cs="Arial"/>
          <w:sz w:val="20"/>
          <w:szCs w:val="20"/>
        </w:rPr>
        <w:t>anesthetic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must be </w:t>
      </w:r>
      <w:proofErr w:type="spellStart"/>
      <w:r w:rsidRPr="008520A1">
        <w:rPr>
          <w:rFonts w:ascii="Arial" w:hAnsi="Arial" w:cs="Arial"/>
          <w:sz w:val="20"/>
          <w:szCs w:val="20"/>
        </w:rPr>
        <w:t>carefully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determined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women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.” </w:t>
      </w:r>
      <w:hyperlink r:id="rId8" w:history="1">
        <w:r w:rsidRPr="008520A1">
          <w:rPr>
            <w:rStyle w:val="Hiperhivatkozs"/>
            <w:rFonts w:ascii="Arial" w:hAnsi="Arial" w:cs="Arial"/>
          </w:rPr>
          <w:t>https://www.ncbi.nlm.nih.gov/pmc/articles/PMC5564152/</w:t>
        </w:r>
      </w:hyperlink>
    </w:p>
    <w:p w:rsidR="00A2071F" w:rsidRPr="008520A1" w:rsidRDefault="00A2071F">
      <w:pPr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lastRenderedPageBreak/>
        <w:t xml:space="preserve">A fogászati érzéstelenítők közül széles körben az </w:t>
      </w:r>
      <w:proofErr w:type="spellStart"/>
      <w:r w:rsidRPr="008520A1">
        <w:rPr>
          <w:rFonts w:ascii="Arial" w:hAnsi="Arial" w:cs="Arial"/>
          <w:sz w:val="20"/>
          <w:szCs w:val="20"/>
        </w:rPr>
        <w:t>articain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r w:rsidR="00A0468F" w:rsidRPr="008520A1">
        <w:rPr>
          <w:rFonts w:ascii="Arial" w:hAnsi="Arial" w:cs="Arial"/>
          <w:sz w:val="20"/>
          <w:szCs w:val="20"/>
        </w:rPr>
        <w:t>ha</w:t>
      </w:r>
      <w:r w:rsidR="008520A1">
        <w:rPr>
          <w:rFonts w:ascii="Arial" w:hAnsi="Arial" w:cs="Arial"/>
          <w:sz w:val="20"/>
          <w:szCs w:val="20"/>
        </w:rPr>
        <w:t>sználatát szokták ajánlani, visz</w:t>
      </w:r>
      <w:r w:rsidR="00A0468F" w:rsidRPr="008520A1">
        <w:rPr>
          <w:rFonts w:ascii="Arial" w:hAnsi="Arial" w:cs="Arial"/>
          <w:sz w:val="20"/>
          <w:szCs w:val="20"/>
        </w:rPr>
        <w:t xml:space="preserve">ont a </w:t>
      </w:r>
      <w:proofErr w:type="spellStart"/>
      <w:r w:rsidR="00A0468F" w:rsidRPr="008520A1">
        <w:rPr>
          <w:rFonts w:ascii="Arial" w:hAnsi="Arial" w:cs="Arial"/>
          <w:sz w:val="20"/>
          <w:szCs w:val="20"/>
        </w:rPr>
        <w:t>lidocain</w:t>
      </w:r>
      <w:proofErr w:type="spellEnd"/>
      <w:r w:rsidR="00A0468F" w:rsidRPr="008520A1">
        <w:rPr>
          <w:rFonts w:ascii="Arial" w:hAnsi="Arial" w:cs="Arial"/>
          <w:sz w:val="20"/>
          <w:szCs w:val="20"/>
        </w:rPr>
        <w:t xml:space="preserve"> is az amerikai FDA ajánlás szerint B </w:t>
      </w:r>
      <w:proofErr w:type="gramStart"/>
      <w:r w:rsidR="00A0468F" w:rsidRPr="008520A1">
        <w:rPr>
          <w:rFonts w:ascii="Arial" w:hAnsi="Arial" w:cs="Arial"/>
          <w:sz w:val="20"/>
          <w:szCs w:val="20"/>
        </w:rPr>
        <w:t>kategóriás</w:t>
      </w:r>
      <w:proofErr w:type="gramEnd"/>
      <w:r w:rsidR="00A0468F" w:rsidRPr="008520A1">
        <w:rPr>
          <w:rFonts w:ascii="Arial" w:hAnsi="Arial" w:cs="Arial"/>
          <w:sz w:val="20"/>
          <w:szCs w:val="20"/>
        </w:rPr>
        <w:t>, tehát elvileg használható (állatkísérletekben nem mutatott semmilyen negatív hatást a magzatra nézve, humán kísérleti adatok nem állnak rendelkezésre)</w:t>
      </w:r>
    </w:p>
    <w:p w:rsidR="00A2071F" w:rsidRPr="008520A1" w:rsidRDefault="00A2071F">
      <w:pPr>
        <w:rPr>
          <w:rFonts w:ascii="Arial" w:hAnsi="Arial" w:cs="Arial"/>
          <w:b/>
          <w:sz w:val="20"/>
          <w:szCs w:val="20"/>
        </w:rPr>
      </w:pPr>
    </w:p>
    <w:p w:rsidR="003020E7" w:rsidRPr="008520A1" w:rsidRDefault="003020E7">
      <w:pPr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Terhesség alatt biztonsággal használható gyógyszerek:</w:t>
      </w: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Allergy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Diphenhydramine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Benadryl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Loratidine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Claritin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Cetirizine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Zyrtec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Cold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Flu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Diphenhydramine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Benadryl</w:t>
      </w:r>
      <w:proofErr w:type="spellEnd"/>
      <w:r w:rsidRPr="008520A1">
        <w:rPr>
          <w:rFonts w:ascii="Arial" w:hAnsi="Arial" w:cs="Arial"/>
          <w:sz w:val="20"/>
          <w:szCs w:val="20"/>
        </w:rPr>
        <w:t>)*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Dextromethorphan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(Robitussin®)*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Guaifenesin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Mucinex</w:t>
      </w:r>
      <w:proofErr w:type="spellEnd"/>
      <w:r w:rsidRPr="008520A1">
        <w:rPr>
          <w:rFonts w:ascii="Arial" w:hAnsi="Arial" w:cs="Arial"/>
          <w:sz w:val="20"/>
          <w:szCs w:val="20"/>
        </w:rPr>
        <w:t>® [</w:t>
      </w:r>
      <w:proofErr w:type="spellStart"/>
      <w:r w:rsidRPr="008520A1">
        <w:rPr>
          <w:rFonts w:ascii="Arial" w:hAnsi="Arial" w:cs="Arial"/>
          <w:sz w:val="20"/>
          <w:szCs w:val="20"/>
        </w:rPr>
        <w:t>plain</w:t>
      </w:r>
      <w:proofErr w:type="spellEnd"/>
      <w:r w:rsidRPr="008520A1">
        <w:rPr>
          <w:rFonts w:ascii="Arial" w:hAnsi="Arial" w:cs="Arial"/>
          <w:sz w:val="20"/>
          <w:szCs w:val="20"/>
        </w:rPr>
        <w:t>]) 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Vicks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Vapor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Rub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 </w:t>
      </w:r>
      <w:proofErr w:type="spellStart"/>
      <w:r w:rsidRPr="008520A1">
        <w:rPr>
          <w:rFonts w:ascii="Arial" w:hAnsi="Arial" w:cs="Arial"/>
          <w:sz w:val="20"/>
          <w:szCs w:val="20"/>
        </w:rPr>
        <w:t>mentholated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cream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Mentholated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8520A1">
        <w:rPr>
          <w:rFonts w:ascii="Arial" w:hAnsi="Arial" w:cs="Arial"/>
          <w:sz w:val="20"/>
          <w:szCs w:val="20"/>
        </w:rPr>
        <w:t>mentholated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cough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drops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(</w:t>
      </w:r>
      <w:proofErr w:type="spellStart"/>
      <w:r w:rsidRPr="008520A1">
        <w:rPr>
          <w:rFonts w:ascii="Arial" w:hAnsi="Arial" w:cs="Arial"/>
          <w:sz w:val="20"/>
          <w:szCs w:val="20"/>
        </w:rPr>
        <w:t>Sugar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-free </w:t>
      </w:r>
      <w:proofErr w:type="spellStart"/>
      <w:r w:rsidRPr="008520A1">
        <w:rPr>
          <w:rFonts w:ascii="Arial" w:hAnsi="Arial" w:cs="Arial"/>
          <w:sz w:val="20"/>
          <w:szCs w:val="20"/>
        </w:rPr>
        <w:t>cough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drops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gestational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diabetes </w:t>
      </w:r>
      <w:proofErr w:type="spellStart"/>
      <w:r w:rsidRPr="008520A1">
        <w:rPr>
          <w:rFonts w:ascii="Arial" w:hAnsi="Arial" w:cs="Arial"/>
          <w:sz w:val="20"/>
          <w:szCs w:val="20"/>
        </w:rPr>
        <w:t>should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not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contain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blends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herbs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aspartame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Pseudoephedrine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([</w:t>
      </w:r>
      <w:proofErr w:type="spellStart"/>
      <w:r w:rsidRPr="008520A1">
        <w:rPr>
          <w:rFonts w:ascii="Arial" w:hAnsi="Arial" w:cs="Arial"/>
          <w:sz w:val="20"/>
          <w:szCs w:val="20"/>
        </w:rPr>
        <w:t>Sudafed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®] </w:t>
      </w:r>
      <w:proofErr w:type="spellStart"/>
      <w:r w:rsidRPr="008520A1">
        <w:rPr>
          <w:rFonts w:ascii="Arial" w:hAnsi="Arial" w:cs="Arial"/>
          <w:sz w:val="20"/>
          <w:szCs w:val="20"/>
        </w:rPr>
        <w:t>after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1st </w:t>
      </w:r>
      <w:proofErr w:type="spellStart"/>
      <w:r w:rsidRPr="008520A1">
        <w:rPr>
          <w:rFonts w:ascii="Arial" w:hAnsi="Arial" w:cs="Arial"/>
          <w:sz w:val="20"/>
          <w:szCs w:val="20"/>
        </w:rPr>
        <w:t>trimester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Acetaminophen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Tylenol</w:t>
      </w:r>
      <w:proofErr w:type="spellEnd"/>
      <w:r w:rsidRPr="008520A1">
        <w:rPr>
          <w:rFonts w:ascii="Arial" w:hAnsi="Arial" w:cs="Arial"/>
          <w:sz w:val="20"/>
          <w:szCs w:val="20"/>
        </w:rPr>
        <w:t>®)*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Saline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nasal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drops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spray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Warm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salt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water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gargle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*</w:t>
      </w:r>
      <w:proofErr w:type="spellStart"/>
      <w:r w:rsidRPr="008520A1">
        <w:rPr>
          <w:rFonts w:ascii="Arial" w:hAnsi="Arial" w:cs="Arial"/>
          <w:sz w:val="20"/>
          <w:szCs w:val="20"/>
        </w:rPr>
        <w:t>Note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Do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not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take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"SA" (</w:t>
      </w:r>
      <w:proofErr w:type="spellStart"/>
      <w:r w:rsidRPr="008520A1">
        <w:rPr>
          <w:rFonts w:ascii="Arial" w:hAnsi="Arial" w:cs="Arial"/>
          <w:sz w:val="20"/>
          <w:szCs w:val="20"/>
        </w:rPr>
        <w:t>Sustained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Action) </w:t>
      </w:r>
      <w:proofErr w:type="spellStart"/>
      <w:r w:rsidRPr="008520A1">
        <w:rPr>
          <w:rFonts w:ascii="Arial" w:hAnsi="Arial" w:cs="Arial"/>
          <w:sz w:val="20"/>
          <w:szCs w:val="20"/>
        </w:rPr>
        <w:t>form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these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drugs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the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"Multi-</w:t>
      </w:r>
      <w:proofErr w:type="spellStart"/>
      <w:r w:rsidRPr="008520A1">
        <w:rPr>
          <w:rFonts w:ascii="Arial" w:hAnsi="Arial" w:cs="Arial"/>
          <w:sz w:val="20"/>
          <w:szCs w:val="20"/>
        </w:rPr>
        <w:t>Symptom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520A1">
        <w:rPr>
          <w:rFonts w:ascii="Arial" w:hAnsi="Arial" w:cs="Arial"/>
          <w:sz w:val="20"/>
          <w:szCs w:val="20"/>
        </w:rPr>
        <w:t>form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these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drugs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20A1">
        <w:rPr>
          <w:rFonts w:ascii="Arial" w:hAnsi="Arial" w:cs="Arial"/>
          <w:sz w:val="20"/>
          <w:szCs w:val="20"/>
        </w:rPr>
        <w:t>Do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not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Nyquil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 </w:t>
      </w:r>
      <w:proofErr w:type="spellStart"/>
      <w:r w:rsidRPr="008520A1">
        <w:rPr>
          <w:rFonts w:ascii="Arial" w:hAnsi="Arial" w:cs="Arial"/>
          <w:sz w:val="20"/>
          <w:szCs w:val="20"/>
        </w:rPr>
        <w:t>due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its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high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alcohol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content</w:t>
      </w:r>
      <w:proofErr w:type="spellEnd"/>
      <w:r w:rsidRPr="008520A1">
        <w:rPr>
          <w:rFonts w:ascii="Arial" w:hAnsi="Arial" w:cs="Arial"/>
          <w:sz w:val="20"/>
          <w:szCs w:val="20"/>
        </w:rPr>
        <w:t>.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Diarrhea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Loperamide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([</w:t>
      </w:r>
      <w:proofErr w:type="spellStart"/>
      <w:r w:rsidRPr="008520A1">
        <w:rPr>
          <w:rFonts w:ascii="Arial" w:hAnsi="Arial" w:cs="Arial"/>
          <w:sz w:val="20"/>
          <w:szCs w:val="20"/>
        </w:rPr>
        <w:t>Imodium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®] </w:t>
      </w:r>
      <w:proofErr w:type="spellStart"/>
      <w:r w:rsidRPr="008520A1">
        <w:rPr>
          <w:rFonts w:ascii="Arial" w:hAnsi="Arial" w:cs="Arial"/>
          <w:sz w:val="20"/>
          <w:szCs w:val="20"/>
        </w:rPr>
        <w:t>after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1st </w:t>
      </w:r>
      <w:proofErr w:type="spellStart"/>
      <w:r w:rsidRPr="008520A1">
        <w:rPr>
          <w:rFonts w:ascii="Arial" w:hAnsi="Arial" w:cs="Arial"/>
          <w:sz w:val="20"/>
          <w:szCs w:val="20"/>
        </w:rPr>
        <w:t>trimester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0A1">
        <w:rPr>
          <w:rFonts w:ascii="Arial" w:hAnsi="Arial" w:cs="Arial"/>
          <w:sz w:val="20"/>
          <w:szCs w:val="20"/>
        </w:rPr>
        <w:t>for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8520A1">
        <w:rPr>
          <w:rFonts w:ascii="Arial" w:hAnsi="Arial" w:cs="Arial"/>
          <w:sz w:val="20"/>
          <w:szCs w:val="20"/>
        </w:rPr>
        <w:t>hours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only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Constipation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Methylcellulose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fiber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Citrucel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Docusate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Colace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psyllium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Fiberall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®, </w:t>
      </w:r>
      <w:proofErr w:type="spellStart"/>
      <w:r w:rsidRPr="008520A1">
        <w:rPr>
          <w:rFonts w:ascii="Arial" w:hAnsi="Arial" w:cs="Arial"/>
          <w:sz w:val="20"/>
          <w:szCs w:val="20"/>
        </w:rPr>
        <w:t>Metamucil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polycarbophil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FiberCon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lastRenderedPageBreak/>
        <w:t>polyethylene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glycol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MiraLAX</w:t>
      </w:r>
      <w:proofErr w:type="spellEnd"/>
      <w:r w:rsidRPr="008520A1">
        <w:rPr>
          <w:rFonts w:ascii="Arial" w:hAnsi="Arial" w:cs="Arial"/>
          <w:sz w:val="20"/>
          <w:szCs w:val="20"/>
        </w:rPr>
        <w:t>®)*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*</w:t>
      </w:r>
      <w:proofErr w:type="spellStart"/>
      <w:r w:rsidRPr="008520A1">
        <w:rPr>
          <w:rFonts w:ascii="Arial" w:hAnsi="Arial" w:cs="Arial"/>
          <w:sz w:val="20"/>
          <w:szCs w:val="20"/>
        </w:rPr>
        <w:t>Occasional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only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</w:t>
      </w:r>
      <w:r w:rsidR="00A2071F" w:rsidRPr="008520A1">
        <w:rPr>
          <w:rFonts w:ascii="Arial" w:hAnsi="Arial" w:cs="Arial"/>
          <w:sz w:val="20"/>
          <w:szCs w:val="20"/>
        </w:rPr>
        <w:t>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Remedy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First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Aid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Ointment</w:t>
      </w:r>
      <w:proofErr w:type="spellEnd"/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0E7" w:rsidRPr="008520A1">
        <w:rPr>
          <w:rFonts w:ascii="Arial" w:hAnsi="Arial" w:cs="Arial"/>
          <w:sz w:val="20"/>
          <w:szCs w:val="20"/>
        </w:rPr>
        <w:t>Medic</w:t>
      </w:r>
      <w:r w:rsidRPr="008520A1">
        <w:rPr>
          <w:rFonts w:ascii="Arial" w:hAnsi="Arial" w:cs="Arial"/>
          <w:sz w:val="20"/>
          <w:szCs w:val="20"/>
        </w:rPr>
        <w:t>ations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Take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Bacitracin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Neomycin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polymyxin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B/</w:t>
      </w:r>
      <w:proofErr w:type="spellStart"/>
      <w:r w:rsidRPr="008520A1">
        <w:rPr>
          <w:rFonts w:ascii="Arial" w:hAnsi="Arial" w:cs="Arial"/>
          <w:sz w:val="20"/>
          <w:szCs w:val="20"/>
        </w:rPr>
        <w:t>bacitracin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Neosporin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Headache</w:t>
      </w:r>
      <w:proofErr w:type="spellEnd"/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</w:t>
      </w:r>
      <w:r w:rsidR="003020E7" w:rsidRPr="008520A1">
        <w:rPr>
          <w:rFonts w:ascii="Arial" w:hAnsi="Arial" w:cs="Arial"/>
          <w:sz w:val="20"/>
          <w:szCs w:val="20"/>
        </w:rPr>
        <w:t>edic</w:t>
      </w:r>
      <w:r w:rsidRPr="008520A1">
        <w:rPr>
          <w:rFonts w:ascii="Arial" w:hAnsi="Arial" w:cs="Arial"/>
          <w:sz w:val="20"/>
          <w:szCs w:val="20"/>
        </w:rPr>
        <w:t>ations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Take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Acetaminophen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Tylenol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Heartburn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Medications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Take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Aluminum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hydroxide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magnesium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carbonate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Gaviscon</w:t>
      </w:r>
      <w:proofErr w:type="spellEnd"/>
      <w:r w:rsidRPr="008520A1">
        <w:rPr>
          <w:rFonts w:ascii="Arial" w:hAnsi="Arial" w:cs="Arial"/>
          <w:sz w:val="20"/>
          <w:szCs w:val="20"/>
        </w:rPr>
        <w:t>®)*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Famotidine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Pepcid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AC®)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Aluminum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hydroxide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magnesium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hydroxide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Maalox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Calcium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carbonate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magnesium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carbonate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Mylanta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Calcium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carbonate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Titralac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®, </w:t>
      </w:r>
      <w:proofErr w:type="spellStart"/>
      <w:r w:rsidRPr="008520A1">
        <w:rPr>
          <w:rFonts w:ascii="Arial" w:hAnsi="Arial" w:cs="Arial"/>
          <w:sz w:val="20"/>
          <w:szCs w:val="20"/>
        </w:rPr>
        <w:t>Tums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Ranitidine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Zantac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*</w:t>
      </w:r>
      <w:proofErr w:type="spellStart"/>
      <w:r w:rsidRPr="008520A1">
        <w:rPr>
          <w:rFonts w:ascii="Arial" w:hAnsi="Arial" w:cs="Arial"/>
          <w:sz w:val="20"/>
          <w:szCs w:val="20"/>
        </w:rPr>
        <w:t>Occasional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only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Hemorrhoids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Phenylephrine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mineral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oil</w:t>
      </w:r>
      <w:proofErr w:type="spellEnd"/>
      <w:r w:rsidRPr="008520A1">
        <w:rPr>
          <w:rFonts w:ascii="Arial" w:hAnsi="Arial" w:cs="Arial"/>
          <w:sz w:val="20"/>
          <w:szCs w:val="20"/>
        </w:rPr>
        <w:t>/</w:t>
      </w:r>
      <w:proofErr w:type="spellStart"/>
      <w:r w:rsidRPr="008520A1">
        <w:rPr>
          <w:rFonts w:ascii="Arial" w:hAnsi="Arial" w:cs="Arial"/>
          <w:sz w:val="20"/>
          <w:szCs w:val="20"/>
        </w:rPr>
        <w:t>petrolatum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(Preparation H®)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Witch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hazel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Tucks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 </w:t>
      </w:r>
      <w:proofErr w:type="spellStart"/>
      <w:r w:rsidRPr="008520A1">
        <w:rPr>
          <w:rFonts w:ascii="Arial" w:hAnsi="Arial" w:cs="Arial"/>
          <w:sz w:val="20"/>
          <w:szCs w:val="20"/>
        </w:rPr>
        <w:t>pads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ointment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</w:t>
      </w:r>
      <w:r w:rsidR="00A2071F" w:rsidRPr="008520A1">
        <w:rPr>
          <w:rFonts w:ascii="Arial" w:hAnsi="Arial" w:cs="Arial"/>
          <w:sz w:val="20"/>
          <w:szCs w:val="20"/>
        </w:rPr>
        <w:t>ype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Remedy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Insect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repellant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N</w:t>
      </w:r>
      <w:proofErr w:type="gramStart"/>
      <w:r w:rsidRPr="008520A1">
        <w:rPr>
          <w:rFonts w:ascii="Arial" w:hAnsi="Arial" w:cs="Arial"/>
          <w:sz w:val="20"/>
          <w:szCs w:val="20"/>
        </w:rPr>
        <w:t>,N-</w:t>
      </w:r>
      <w:proofErr w:type="spellStart"/>
      <w:r w:rsidRPr="008520A1">
        <w:rPr>
          <w:rFonts w:ascii="Arial" w:hAnsi="Arial" w:cs="Arial"/>
          <w:sz w:val="20"/>
          <w:szCs w:val="20"/>
        </w:rPr>
        <w:t>diethyl</w:t>
      </w:r>
      <w:proofErr w:type="spellEnd"/>
      <w:r w:rsidRPr="008520A1">
        <w:rPr>
          <w:rFonts w:ascii="Arial" w:hAnsi="Arial" w:cs="Arial"/>
          <w:sz w:val="20"/>
          <w:szCs w:val="20"/>
        </w:rPr>
        <w:t>-</w:t>
      </w:r>
      <w:proofErr w:type="spellStart"/>
      <w:r w:rsidRPr="008520A1">
        <w:rPr>
          <w:rFonts w:ascii="Arial" w:hAnsi="Arial" w:cs="Arial"/>
          <w:sz w:val="20"/>
          <w:szCs w:val="20"/>
        </w:rPr>
        <w:t>meta-toluamide</w:t>
      </w:r>
      <w:proofErr w:type="spellEnd"/>
      <w:proofErr w:type="gramEnd"/>
      <w:r w:rsidRPr="008520A1">
        <w:rPr>
          <w:rFonts w:ascii="Arial" w:hAnsi="Arial" w:cs="Arial"/>
          <w:sz w:val="20"/>
          <w:szCs w:val="20"/>
        </w:rPr>
        <w:t xml:space="preserve"> (DEET®)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Nausea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520A1">
        <w:rPr>
          <w:rFonts w:ascii="Arial" w:hAnsi="Arial" w:cs="Arial"/>
          <w:sz w:val="20"/>
          <w:szCs w:val="20"/>
        </w:rPr>
        <w:t>Vomiting</w:t>
      </w:r>
      <w:proofErr w:type="spellEnd"/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0E7" w:rsidRPr="008520A1">
        <w:rPr>
          <w:rFonts w:ascii="Arial" w:hAnsi="Arial" w:cs="Arial"/>
          <w:sz w:val="20"/>
          <w:szCs w:val="20"/>
        </w:rPr>
        <w:t>Medic</w:t>
      </w:r>
      <w:r w:rsidRPr="008520A1">
        <w:rPr>
          <w:rFonts w:ascii="Arial" w:hAnsi="Arial" w:cs="Arial"/>
          <w:sz w:val="20"/>
          <w:szCs w:val="20"/>
        </w:rPr>
        <w:t>ations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Take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Diphenhydramine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Benadryl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Vitamin B6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Rashes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Diphenhydramine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cream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Benadryl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Hydrocortisone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cream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or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ointment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Oatmeal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bath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Aveeno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Sleep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Diphenhydramine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Unisom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SleepGels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®, </w:t>
      </w:r>
      <w:proofErr w:type="spellStart"/>
      <w:r w:rsidRPr="008520A1">
        <w:rPr>
          <w:rFonts w:ascii="Arial" w:hAnsi="Arial" w:cs="Arial"/>
          <w:sz w:val="20"/>
          <w:szCs w:val="20"/>
        </w:rPr>
        <w:t>Benadryl</w:t>
      </w:r>
      <w:proofErr w:type="spellEnd"/>
      <w:r w:rsidRPr="008520A1">
        <w:rPr>
          <w:rFonts w:ascii="Arial" w:hAnsi="Arial" w:cs="Arial"/>
          <w:sz w:val="20"/>
          <w:szCs w:val="20"/>
        </w:rPr>
        <w:t>)</w:t>
      </w: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A2071F" w:rsidRPr="008520A1" w:rsidRDefault="00A2071F" w:rsidP="00253128">
      <w:pPr>
        <w:spacing w:line="240" w:lineRule="auto"/>
        <w:rPr>
          <w:rFonts w:ascii="Arial" w:hAnsi="Arial" w:cs="Arial"/>
          <w:sz w:val="20"/>
          <w:szCs w:val="20"/>
        </w:rPr>
      </w:pPr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Type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520A1">
        <w:rPr>
          <w:rFonts w:ascii="Arial" w:hAnsi="Arial" w:cs="Arial"/>
          <w:sz w:val="20"/>
          <w:szCs w:val="20"/>
        </w:rPr>
        <w:t>Remedy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20A1">
        <w:rPr>
          <w:rFonts w:ascii="Arial" w:hAnsi="Arial" w:cs="Arial"/>
          <w:sz w:val="20"/>
          <w:szCs w:val="20"/>
        </w:rPr>
        <w:t>Yeast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Infection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Medic</w:t>
      </w:r>
      <w:r w:rsidR="00A2071F" w:rsidRPr="008520A1">
        <w:rPr>
          <w:rFonts w:ascii="Arial" w:hAnsi="Arial" w:cs="Arial"/>
          <w:sz w:val="20"/>
          <w:szCs w:val="20"/>
        </w:rPr>
        <w:t>ations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to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Take</w:t>
      </w:r>
      <w:proofErr w:type="spellEnd"/>
      <w:r w:rsidR="00A2071F"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A2071F" w:rsidRPr="008520A1">
        <w:rPr>
          <w:rFonts w:ascii="Arial" w:hAnsi="Arial" w:cs="Arial"/>
          <w:sz w:val="20"/>
          <w:szCs w:val="20"/>
        </w:rPr>
        <w:t>Pregnancy</w:t>
      </w:r>
      <w:proofErr w:type="spellEnd"/>
    </w:p>
    <w:p w:rsidR="003020E7" w:rsidRPr="008520A1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20A1">
        <w:rPr>
          <w:rFonts w:ascii="Arial" w:hAnsi="Arial" w:cs="Arial"/>
          <w:sz w:val="20"/>
          <w:szCs w:val="20"/>
        </w:rPr>
        <w:t>Miconazole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20A1">
        <w:rPr>
          <w:rFonts w:ascii="Arial" w:hAnsi="Arial" w:cs="Arial"/>
          <w:sz w:val="20"/>
          <w:szCs w:val="20"/>
        </w:rPr>
        <w:t>Monistat</w:t>
      </w:r>
      <w:proofErr w:type="spellEnd"/>
      <w:r w:rsidRPr="008520A1">
        <w:rPr>
          <w:rFonts w:ascii="Arial" w:hAnsi="Arial" w:cs="Arial"/>
          <w:sz w:val="20"/>
          <w:szCs w:val="20"/>
        </w:rPr>
        <w:t>®)</w:t>
      </w:r>
    </w:p>
    <w:p w:rsidR="003020E7" w:rsidRDefault="003020E7" w:rsidP="00253128">
      <w:pPr>
        <w:spacing w:line="240" w:lineRule="auto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sz w:val="20"/>
          <w:szCs w:val="20"/>
        </w:rPr>
        <w:t>*</w:t>
      </w:r>
      <w:proofErr w:type="spellStart"/>
      <w:r w:rsidRPr="008520A1">
        <w:rPr>
          <w:rFonts w:ascii="Arial" w:hAnsi="Arial" w:cs="Arial"/>
          <w:sz w:val="20"/>
          <w:szCs w:val="20"/>
        </w:rPr>
        <w:t>Please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note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: No </w:t>
      </w:r>
      <w:proofErr w:type="spellStart"/>
      <w:r w:rsidRPr="008520A1">
        <w:rPr>
          <w:rFonts w:ascii="Arial" w:hAnsi="Arial" w:cs="Arial"/>
          <w:sz w:val="20"/>
          <w:szCs w:val="20"/>
        </w:rPr>
        <w:t>drug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can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8520A1">
        <w:rPr>
          <w:rFonts w:ascii="Arial" w:hAnsi="Arial" w:cs="Arial"/>
          <w:sz w:val="20"/>
          <w:szCs w:val="20"/>
        </w:rPr>
        <w:t>considered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100% </w:t>
      </w:r>
      <w:proofErr w:type="spellStart"/>
      <w:r w:rsidRPr="008520A1">
        <w:rPr>
          <w:rFonts w:ascii="Arial" w:hAnsi="Arial" w:cs="Arial"/>
          <w:sz w:val="20"/>
          <w:szCs w:val="20"/>
        </w:rPr>
        <w:t>safe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to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0A1">
        <w:rPr>
          <w:rFonts w:ascii="Arial" w:hAnsi="Arial" w:cs="Arial"/>
          <w:sz w:val="20"/>
          <w:szCs w:val="20"/>
        </w:rPr>
        <w:t>use</w:t>
      </w:r>
      <w:proofErr w:type="spellEnd"/>
      <w:r w:rsidRPr="008520A1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8520A1">
        <w:rPr>
          <w:rFonts w:ascii="Arial" w:hAnsi="Arial" w:cs="Arial"/>
          <w:sz w:val="20"/>
          <w:szCs w:val="20"/>
        </w:rPr>
        <w:t>pregnancy</w:t>
      </w:r>
      <w:proofErr w:type="spellEnd"/>
      <w:r w:rsidRPr="008520A1">
        <w:rPr>
          <w:rFonts w:ascii="Arial" w:hAnsi="Arial" w:cs="Arial"/>
          <w:sz w:val="20"/>
          <w:szCs w:val="20"/>
        </w:rPr>
        <w:t>.</w:t>
      </w: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b/>
          <w:sz w:val="28"/>
          <w:szCs w:val="28"/>
        </w:rPr>
        <w:t>Szoptatás ideje alatt szükséges megfontolások: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  <w:hyperlink r:id="rId9" w:history="1">
        <w:r w:rsidRPr="006537E3">
          <w:rPr>
            <w:rStyle w:val="Hiperhivatkozs"/>
            <w:rFonts w:ascii="Arial" w:hAnsi="Arial" w:cs="Arial"/>
            <w:sz w:val="20"/>
            <w:szCs w:val="20"/>
          </w:rPr>
          <w:t>https://breastfeedingnetwork.org.uk/wp-content/dibm/dental%20treatment%20and%20breastfeeding.pdf</w:t>
        </w:r>
      </w:hyperlink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1: Fogászati kezelések </w:t>
      </w:r>
      <w:proofErr w:type="spellStart"/>
      <w:r>
        <w:rPr>
          <w:rFonts w:ascii="Arial" w:hAnsi="Arial" w:cs="Arial"/>
          <w:sz w:val="20"/>
          <w:szCs w:val="20"/>
        </w:rPr>
        <w:t>végezhetőek</w:t>
      </w:r>
      <w:proofErr w:type="spellEnd"/>
      <w:r>
        <w:rPr>
          <w:rFonts w:ascii="Arial" w:hAnsi="Arial" w:cs="Arial"/>
          <w:sz w:val="20"/>
          <w:szCs w:val="20"/>
        </w:rPr>
        <w:t xml:space="preserve"> a szoptatás ideje alatt</w:t>
      </w: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 Helyi érzéstelenítők használhatók, használat után nem szükséges felfüggeszteni a szoptatást. Az adrenalin tartalmú érzéstelenítők használata esetén érdemes a lehető legkevesebb érzéstelenítőt adni.</w:t>
      </w:r>
    </w:p>
    <w:p w:rsidR="008520A1" w:rsidRDefault="008520A1" w:rsidP="00302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3: Fájdalomcsillapítónak </w:t>
      </w:r>
      <w:proofErr w:type="spellStart"/>
      <w:r>
        <w:rPr>
          <w:rFonts w:ascii="Arial" w:hAnsi="Arial" w:cs="Arial"/>
          <w:sz w:val="20"/>
          <w:szCs w:val="20"/>
        </w:rPr>
        <w:t>paracetamol</w:t>
      </w:r>
      <w:proofErr w:type="spellEnd"/>
      <w:r>
        <w:rPr>
          <w:rFonts w:ascii="Arial" w:hAnsi="Arial" w:cs="Arial"/>
          <w:sz w:val="20"/>
          <w:szCs w:val="20"/>
        </w:rPr>
        <w:t xml:space="preserve"> vagy </w:t>
      </w:r>
      <w:proofErr w:type="spellStart"/>
      <w:r>
        <w:rPr>
          <w:rFonts w:ascii="Arial" w:hAnsi="Arial" w:cs="Arial"/>
          <w:sz w:val="20"/>
          <w:szCs w:val="20"/>
        </w:rPr>
        <w:t>ibuprofen</w:t>
      </w:r>
      <w:proofErr w:type="spellEnd"/>
      <w:r>
        <w:rPr>
          <w:rFonts w:ascii="Arial" w:hAnsi="Arial" w:cs="Arial"/>
          <w:sz w:val="20"/>
          <w:szCs w:val="20"/>
        </w:rPr>
        <w:t xml:space="preserve"> ajánlott.</w:t>
      </w:r>
    </w:p>
    <w:p w:rsidR="00253128" w:rsidRDefault="00253128" w:rsidP="003020E7">
      <w:pPr>
        <w:rPr>
          <w:rFonts w:ascii="Arial" w:hAnsi="Arial" w:cs="Arial"/>
          <w:sz w:val="20"/>
          <w:szCs w:val="20"/>
        </w:rPr>
      </w:pPr>
    </w:p>
    <w:p w:rsidR="00253128" w:rsidRDefault="00253128" w:rsidP="00302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Antibiotikumok (</w:t>
      </w:r>
      <w:hyperlink r:id="rId10" w:history="1">
        <w:r>
          <w:rPr>
            <w:rStyle w:val="Hiperhivatkozs"/>
          </w:rPr>
          <w:t>https://breastfeedingnetwork.org.uk/wp-content/dibm/antibiotics%20and%20breastfeeding.pdf</w:t>
        </w:r>
      </w:hyperlink>
      <w:r>
        <w:t>):</w:t>
      </w:r>
    </w:p>
    <w:p w:rsidR="00253128" w:rsidRDefault="008520A1" w:rsidP="0025312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Antibiotikumok, amik használhatóak</w:t>
      </w:r>
      <w:r w:rsidR="00253128">
        <w:rPr>
          <w:rFonts w:ascii="Arial" w:hAnsi="Arial" w:cs="Arial"/>
          <w:sz w:val="20"/>
          <w:szCs w:val="20"/>
        </w:rPr>
        <w:t xml:space="preserve"> szoptatás alatt: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Amoxycillin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Amoxil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 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Azithromycin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Zithromax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Cefaclor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Distaclor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Cefuroxamine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Zinna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Cephalexin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Cefalexin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Keflex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Cephradine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Velosef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Clarithromycin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Klaricid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>®</w:t>
      </w:r>
      <w:r w:rsid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Co-amoxiclav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Augmentin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Co-fluampicil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Flucloxacillin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Ampicillin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Magnapen®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Erythromycin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Erymax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Erythrope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Erythrocin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Flucloxacillin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Floxapen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®, Penicillin V,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Phenoxymethyl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 penicillin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Trimethoprim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53128" w:rsidRPr="00253128">
        <w:rPr>
          <w:rFonts w:ascii="Arial" w:hAnsi="Arial" w:cs="Arial"/>
          <w:sz w:val="20"/>
          <w:szCs w:val="20"/>
        </w:rPr>
        <w:t>Monotrim</w:t>
      </w:r>
      <w:proofErr w:type="spellEnd"/>
      <w:r w:rsidR="00253128" w:rsidRPr="00253128">
        <w:rPr>
          <w:rFonts w:ascii="Arial" w:hAnsi="Arial" w:cs="Arial"/>
          <w:sz w:val="20"/>
          <w:szCs w:val="20"/>
        </w:rPr>
        <w:t>®,</w:t>
      </w:r>
      <w:proofErr w:type="gramEnd"/>
    </w:p>
    <w:p w:rsidR="00253128" w:rsidRDefault="00253128" w:rsidP="0025312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Tetracyclinek</w:t>
      </w:r>
      <w:proofErr w:type="spellEnd"/>
      <w:r>
        <w:rPr>
          <w:rFonts w:ascii="Arial" w:hAnsi="Arial" w:cs="Arial"/>
          <w:sz w:val="20"/>
          <w:szCs w:val="20"/>
        </w:rPr>
        <w:t xml:space="preserve"> egy hónapnál rövidebb ideig használhatóak.</w:t>
      </w:r>
    </w:p>
    <w:p w:rsidR="00253128" w:rsidRPr="00253128" w:rsidRDefault="00253128" w:rsidP="003020E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Metronidazol</w:t>
      </w:r>
      <w:proofErr w:type="spellEnd"/>
      <w:r>
        <w:rPr>
          <w:rFonts w:ascii="Arial" w:hAnsi="Arial" w:cs="Arial"/>
          <w:sz w:val="20"/>
          <w:szCs w:val="20"/>
        </w:rPr>
        <w:t xml:space="preserve"> elviekben használható, 200-400mg háromszor egy nap, viszont az anyatej ízét változtathatja, emiatt lehet, hogy a baba elutasítja azt.</w:t>
      </w:r>
    </w:p>
    <w:sectPr w:rsidR="00253128" w:rsidRPr="0025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74"/>
    <w:rsid w:val="00253128"/>
    <w:rsid w:val="003020E7"/>
    <w:rsid w:val="0049649A"/>
    <w:rsid w:val="00795A0E"/>
    <w:rsid w:val="008520A1"/>
    <w:rsid w:val="008F6774"/>
    <w:rsid w:val="00A0468F"/>
    <w:rsid w:val="00A2071F"/>
    <w:rsid w:val="00A4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3AC5"/>
  <w15:chartTrackingRefBased/>
  <w15:docId w15:val="{37E325ED-BC8C-410F-A103-26092D28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6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564152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404552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bi.nlm.nih.gov/pmc/articles/PMC5083886/?fbclid=IwAR0z7-kf89L9zBngh-T4A9x3HtGKiYr-iCZq7Zsy_qh4kDdRCOUfojyj90s" TargetMode="External"/><Relationship Id="rId10" Type="http://schemas.openxmlformats.org/officeDocument/2006/relationships/hyperlink" Target="https://breastfeedingnetwork.org.uk/wp-content/dibm/antibiotics%20and%20breastfeeding.pdf" TargetMode="External"/><Relationship Id="rId4" Type="http://schemas.openxmlformats.org/officeDocument/2006/relationships/hyperlink" Target="https://www.efp.org/publications/projects/oralhealthandpregnancy/features/periodontal-treatment-safe-when-pregnant/" TargetMode="External"/><Relationship Id="rId9" Type="http://schemas.openxmlformats.org/officeDocument/2006/relationships/hyperlink" Target="https://breastfeedingnetwork.org.uk/wp-content/dibm/dental%20treatment%20and%20breastfeeding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1161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Paro414</dc:creator>
  <cp:keywords/>
  <dc:description/>
  <cp:lastModifiedBy>Paro414</cp:lastModifiedBy>
  <cp:revision>3</cp:revision>
  <dcterms:created xsi:type="dcterms:W3CDTF">2019-05-17T06:17:00Z</dcterms:created>
  <dcterms:modified xsi:type="dcterms:W3CDTF">2019-05-17T07:38:00Z</dcterms:modified>
</cp:coreProperties>
</file>