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13" w:rsidRPr="00B86213" w:rsidRDefault="00B86213" w:rsidP="00B86213">
      <w:pPr>
        <w:pStyle w:val="Cmsor1"/>
        <w:rPr>
          <w:rFonts w:asciiTheme="minorHAnsi" w:hAnsiTheme="minorHAnsi" w:cs="Times New Roman"/>
          <w:b/>
          <w:bCs/>
          <w:color w:val="000000"/>
        </w:rPr>
      </w:pPr>
      <w:r w:rsidRPr="00B86213">
        <w:rPr>
          <w:rFonts w:asciiTheme="minorHAnsi" w:hAnsiTheme="minorHAnsi" w:cs="Times New Roman"/>
          <w:b/>
          <w:color w:val="000000"/>
        </w:rPr>
        <w:t>B</w:t>
      </w:r>
      <w:r w:rsidRPr="00B86213">
        <w:rPr>
          <w:rFonts w:asciiTheme="minorHAnsi" w:hAnsiTheme="minorHAnsi" w:cs="Times New Roman"/>
          <w:b/>
          <w:bCs/>
          <w:color w:val="000000"/>
        </w:rPr>
        <w:t xml:space="preserve">asic </w:t>
      </w:r>
      <w:proofErr w:type="spellStart"/>
      <w:r w:rsidRPr="00B86213">
        <w:rPr>
          <w:rFonts w:asciiTheme="minorHAnsi" w:hAnsiTheme="minorHAnsi" w:cs="Times New Roman"/>
          <w:b/>
          <w:bCs/>
          <w:color w:val="000000"/>
        </w:rPr>
        <w:t>Periodontal</w:t>
      </w:r>
      <w:proofErr w:type="spellEnd"/>
      <w:r w:rsidRPr="00B86213">
        <w:rPr>
          <w:rFonts w:asciiTheme="minorHAnsi" w:hAnsiTheme="minorHAnsi" w:cs="Times New Roman"/>
          <w:b/>
          <w:bCs/>
          <w:color w:val="000000"/>
        </w:rPr>
        <w:t xml:space="preserve"> </w:t>
      </w:r>
      <w:proofErr w:type="spellStart"/>
      <w:r w:rsidRPr="00B86213">
        <w:rPr>
          <w:rFonts w:asciiTheme="minorHAnsi" w:hAnsiTheme="minorHAnsi" w:cs="Times New Roman"/>
          <w:b/>
          <w:bCs/>
          <w:color w:val="000000"/>
        </w:rPr>
        <w:t>Examination</w:t>
      </w:r>
      <w:proofErr w:type="spellEnd"/>
      <w:r w:rsidRPr="00B86213">
        <w:rPr>
          <w:rFonts w:asciiTheme="minorHAnsi" w:hAnsiTheme="minorHAnsi" w:cs="Times New Roman"/>
          <w:b/>
          <w:bCs/>
          <w:color w:val="000000"/>
        </w:rPr>
        <w:t xml:space="preserve"> (BPE)</w:t>
      </w:r>
    </w:p>
    <w:p w:rsidR="00B86213" w:rsidRPr="00B86213" w:rsidRDefault="00B86213" w:rsidP="00B86213">
      <w:pPr>
        <w:rPr>
          <w:rFonts w:asciiTheme="minorHAnsi" w:hAnsiTheme="minorHAnsi" w:cs="Times New Roman"/>
        </w:rPr>
      </w:pPr>
    </w:p>
    <w:p w:rsidR="00B86213" w:rsidRPr="00B86213" w:rsidRDefault="00B86213" w:rsidP="00B86213">
      <w:pPr>
        <w:rPr>
          <w:rFonts w:asciiTheme="minorHAnsi" w:hAnsiTheme="minorHAnsi" w:cs="Times New Roman"/>
        </w:rPr>
      </w:pPr>
      <w:r w:rsidRPr="00B86213">
        <w:rPr>
          <w:rFonts w:asciiTheme="minorHAnsi" w:hAnsiTheme="minorHAnsi" w:cs="Times New Roman"/>
        </w:rPr>
        <w:t>A fogágy szöveteinek alapos vizsgálata a páciensek kezelésének elengedhetetlen része. A BPE egy egyszerű és gyorsan kivitelezhető vizsgálati módszer, aminek célja, hogy meghatározza az elvégzendő diagnosztikus lépéseket, és alapvető irányvonalakat mutasson a kezelési tervben. Megjegyzendő, hogy a BPE nem nyújt komplett klinikai diagnózist.</w:t>
      </w:r>
    </w:p>
    <w:p w:rsidR="00B86213" w:rsidRDefault="00B86213" w:rsidP="00B86213"/>
    <w:p w:rsidR="00B86213" w:rsidRDefault="00B86213" w:rsidP="00B86213">
      <w:pPr>
        <w:rPr>
          <w:b/>
          <w:bCs/>
        </w:rPr>
      </w:pPr>
      <w:r>
        <w:rPr>
          <w:b/>
          <w:bCs/>
        </w:rPr>
        <w:t>Hogyan rögzítjük</w:t>
      </w:r>
      <w:r w:rsidRPr="007F744B">
        <w:rPr>
          <w:b/>
          <w:bCs/>
        </w:rPr>
        <w:t xml:space="preserve"> a </w:t>
      </w:r>
      <w:proofErr w:type="spellStart"/>
      <w:r w:rsidRPr="007F744B">
        <w:rPr>
          <w:b/>
          <w:bCs/>
        </w:rPr>
        <w:t>BPE-t</w:t>
      </w:r>
      <w:proofErr w:type="spellEnd"/>
      <w:r w:rsidRPr="007F744B">
        <w:rPr>
          <w:b/>
          <w:bCs/>
        </w:rPr>
        <w:t>?</w:t>
      </w:r>
    </w:p>
    <w:p w:rsidR="00B86213" w:rsidRPr="007F744B" w:rsidRDefault="00B86213" w:rsidP="00B86213">
      <w:pPr>
        <w:rPr>
          <w:b/>
          <w:bCs/>
        </w:rPr>
      </w:pPr>
    </w:p>
    <w:p w:rsidR="00B86213" w:rsidRDefault="00B86213" w:rsidP="00B86213">
      <w:pPr>
        <w:pStyle w:val="Listaszerbekezds"/>
        <w:numPr>
          <w:ilvl w:val="0"/>
          <w:numId w:val="1"/>
        </w:numPr>
      </w:pPr>
      <w:r>
        <w:t>A fogazatot 6 szextánsra osztjuk, az alábbiak szerint:</w:t>
      </w:r>
    </w:p>
    <w:p w:rsidR="00B86213" w:rsidRDefault="00B86213" w:rsidP="00B86213">
      <w:pPr>
        <w:ind w:left="720"/>
      </w:pPr>
      <w:proofErr w:type="gramStart"/>
      <w:r>
        <w:t>jobb</w:t>
      </w:r>
      <w:proofErr w:type="gramEnd"/>
      <w:r>
        <w:t xml:space="preserve"> felső (17-14), felső front (13-23), bal felső (24-27)</w:t>
      </w:r>
    </w:p>
    <w:p w:rsidR="00B86213" w:rsidRDefault="00B86213" w:rsidP="00B86213">
      <w:pPr>
        <w:ind w:left="720"/>
      </w:pPr>
      <w:proofErr w:type="gramStart"/>
      <w:r>
        <w:t>jobb</w:t>
      </w:r>
      <w:proofErr w:type="gramEnd"/>
      <w:r>
        <w:t xml:space="preserve"> alsó (47-44), alsó front (43-33), bal alsó (34-37)</w:t>
      </w:r>
    </w:p>
    <w:p w:rsidR="00B86213" w:rsidRDefault="00B86213" w:rsidP="00B86213">
      <w:pPr>
        <w:pStyle w:val="Listaszerbekezds"/>
        <w:numPr>
          <w:ilvl w:val="0"/>
          <w:numId w:val="1"/>
        </w:numPr>
      </w:pPr>
      <w:r>
        <w:t>Minden szextánsban, minden fogat vizsgálunk (kivéve a bölcsességfogakat)</w:t>
      </w:r>
    </w:p>
    <w:p w:rsidR="00B86213" w:rsidRDefault="00B86213" w:rsidP="00B86213">
      <w:pPr>
        <w:pStyle w:val="Listaszerbekezds"/>
        <w:numPr>
          <w:ilvl w:val="0"/>
          <w:numId w:val="1"/>
        </w:numPr>
      </w:pPr>
      <w:r>
        <w:t>Ahhoz, hog</w:t>
      </w:r>
      <w:bookmarkStart w:id="0" w:name="_GoBack"/>
      <w:bookmarkEnd w:id="0"/>
      <w:r>
        <w:t xml:space="preserve">y egy szextánst regisztráljunk, annak legalább 2 fogat kell tartalmaznia. (Ha csak 1 fog van az </w:t>
      </w:r>
      <w:proofErr w:type="spellStart"/>
      <w:r>
        <w:t>adot</w:t>
      </w:r>
      <w:proofErr w:type="spellEnd"/>
      <w:r>
        <w:t xml:space="preserve"> szektánsban, annak </w:t>
      </w:r>
      <w:proofErr w:type="spellStart"/>
      <w:r>
        <w:t>BPE-értékét</w:t>
      </w:r>
      <w:proofErr w:type="spellEnd"/>
      <w:r>
        <w:t xml:space="preserve"> a szomszédos szextánshoz számítjuk).</w:t>
      </w:r>
    </w:p>
    <w:p w:rsidR="00B86213" w:rsidRDefault="00B86213" w:rsidP="00B86213">
      <w:pPr>
        <w:pStyle w:val="Listaszerbekezds"/>
        <w:numPr>
          <w:ilvl w:val="0"/>
          <w:numId w:val="1"/>
        </w:numPr>
      </w:pPr>
      <w:r>
        <w:t xml:space="preserve">WHO (World Health </w:t>
      </w:r>
      <w:proofErr w:type="spellStart"/>
      <w:r>
        <w:t>Organisation</w:t>
      </w:r>
      <w:proofErr w:type="spellEnd"/>
      <w:r>
        <w:t>) szondát használunk. Ez 0,5 mm átmérőjű gömbfejben végződik, és található rajta egy fekete sáv 3,5 és 5,</w:t>
      </w:r>
      <w:proofErr w:type="spellStart"/>
      <w:r>
        <w:t>5</w:t>
      </w:r>
      <w:proofErr w:type="spellEnd"/>
      <w:r>
        <w:t xml:space="preserve"> mm között. Enyhe nyomással (20-25g) vezessük a szondát a </w:t>
      </w:r>
      <w:proofErr w:type="spellStart"/>
      <w:r>
        <w:t>sulcusba</w:t>
      </w:r>
      <w:proofErr w:type="spellEnd"/>
      <w:r>
        <w:t>/tasakba.</w:t>
      </w:r>
    </w:p>
    <w:tbl>
      <w:tblPr>
        <w:tblpPr w:leftFromText="180" w:rightFromText="180" w:vertAnchor="page" w:horzAnchor="page" w:tblpX="1630" w:tblpY="9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8414"/>
      </w:tblGrid>
      <w:tr w:rsidR="00B86213" w:rsidRPr="005F23EA" w:rsidTr="00542B86">
        <w:tc>
          <w:tcPr>
            <w:tcW w:w="596" w:type="dxa"/>
          </w:tcPr>
          <w:p w:rsidR="00B86213" w:rsidRPr="005F23EA" w:rsidRDefault="00B86213" w:rsidP="00542B86">
            <w:pPr>
              <w:jc w:val="center"/>
              <w:rPr>
                <w:rFonts w:eastAsia="MS MinNew Roman"/>
              </w:rPr>
            </w:pPr>
            <w:r w:rsidRPr="005F23EA">
              <w:rPr>
                <w:rFonts w:eastAsia="MS MinNew Roman"/>
              </w:rPr>
              <w:t>0</w:t>
            </w:r>
          </w:p>
        </w:tc>
        <w:tc>
          <w:tcPr>
            <w:tcW w:w="8414" w:type="dxa"/>
          </w:tcPr>
          <w:p w:rsidR="00B86213" w:rsidRPr="005F23EA" w:rsidRDefault="00B86213" w:rsidP="00542B86">
            <w:pPr>
              <w:rPr>
                <w:rFonts w:eastAsia="MS MinNew Roman"/>
              </w:rPr>
            </w:pPr>
            <w:r w:rsidRPr="005F23EA">
              <w:rPr>
                <w:rFonts w:eastAsia="MS MinNew Roman"/>
              </w:rPr>
              <w:t xml:space="preserve"> </w:t>
            </w:r>
            <w:r>
              <w:rPr>
                <w:rFonts w:eastAsia="MS MinNew Roman"/>
              </w:rPr>
              <w:t xml:space="preserve">Szondázási mélység &lt;3,5 </w:t>
            </w:r>
            <w:r w:rsidRPr="005F23EA">
              <w:rPr>
                <w:rFonts w:eastAsia="MS MinNew Roman"/>
              </w:rPr>
              <w:t>mm, nincs fogkő, sem túlérő tömés-/koronaszél, szondázásra nincs vérzés</w:t>
            </w:r>
          </w:p>
        </w:tc>
      </w:tr>
      <w:tr w:rsidR="00B86213" w:rsidRPr="005F23EA" w:rsidTr="00542B86">
        <w:tc>
          <w:tcPr>
            <w:tcW w:w="596" w:type="dxa"/>
          </w:tcPr>
          <w:p w:rsidR="00B86213" w:rsidRPr="005F23EA" w:rsidRDefault="00B86213" w:rsidP="00542B86">
            <w:pPr>
              <w:jc w:val="center"/>
              <w:rPr>
                <w:rFonts w:eastAsia="MS MinNew Roman"/>
              </w:rPr>
            </w:pPr>
            <w:r w:rsidRPr="005F23EA">
              <w:rPr>
                <w:rFonts w:eastAsia="MS MinNew Roman"/>
              </w:rPr>
              <w:t>1</w:t>
            </w:r>
          </w:p>
        </w:tc>
        <w:tc>
          <w:tcPr>
            <w:tcW w:w="8414" w:type="dxa"/>
          </w:tcPr>
          <w:p w:rsidR="00B86213" w:rsidRPr="005F23EA" w:rsidRDefault="00B86213" w:rsidP="00542B86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Szondázási mélység &lt;3,5 </w:t>
            </w:r>
            <w:r w:rsidRPr="005F23EA">
              <w:rPr>
                <w:rFonts w:eastAsia="MS MinNew Roman"/>
              </w:rPr>
              <w:t>mm, nincs fogkő, sem túlérő tömés-/koronaszél, szondázásra van vérzés</w:t>
            </w:r>
          </w:p>
        </w:tc>
      </w:tr>
      <w:tr w:rsidR="00B86213" w:rsidRPr="005F23EA" w:rsidTr="00542B86">
        <w:tc>
          <w:tcPr>
            <w:tcW w:w="596" w:type="dxa"/>
          </w:tcPr>
          <w:p w:rsidR="00B86213" w:rsidRPr="005F23EA" w:rsidRDefault="00B86213" w:rsidP="00542B86">
            <w:pPr>
              <w:jc w:val="center"/>
              <w:rPr>
                <w:rFonts w:eastAsia="MS MinNew Roman"/>
              </w:rPr>
            </w:pPr>
            <w:r w:rsidRPr="005F23EA">
              <w:rPr>
                <w:rFonts w:eastAsia="MS MinNew Roman"/>
              </w:rPr>
              <w:t>2</w:t>
            </w:r>
          </w:p>
        </w:tc>
        <w:tc>
          <w:tcPr>
            <w:tcW w:w="8414" w:type="dxa"/>
          </w:tcPr>
          <w:p w:rsidR="00B86213" w:rsidRPr="005F23EA" w:rsidRDefault="00B86213" w:rsidP="00542B86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Szondázási mélység &lt;3,5 </w:t>
            </w:r>
            <w:r w:rsidRPr="005F23EA">
              <w:rPr>
                <w:rFonts w:eastAsia="MS MinNew Roman"/>
              </w:rPr>
              <w:t>mm, van fogkő, vagy túlérő tömés-/koronaszél</w:t>
            </w:r>
          </w:p>
        </w:tc>
      </w:tr>
      <w:tr w:rsidR="00B86213" w:rsidRPr="005F23EA" w:rsidTr="00542B86">
        <w:trPr>
          <w:trHeight w:val="311"/>
        </w:trPr>
        <w:tc>
          <w:tcPr>
            <w:tcW w:w="596" w:type="dxa"/>
          </w:tcPr>
          <w:p w:rsidR="00B86213" w:rsidRPr="005F23EA" w:rsidRDefault="00B86213" w:rsidP="00542B86">
            <w:pPr>
              <w:jc w:val="center"/>
              <w:rPr>
                <w:rFonts w:eastAsia="MS MinNew Roman"/>
              </w:rPr>
            </w:pPr>
            <w:r w:rsidRPr="005F23EA">
              <w:rPr>
                <w:rFonts w:eastAsia="MS MinNew Roman"/>
              </w:rPr>
              <w:t>3</w:t>
            </w:r>
          </w:p>
        </w:tc>
        <w:tc>
          <w:tcPr>
            <w:tcW w:w="8414" w:type="dxa"/>
          </w:tcPr>
          <w:p w:rsidR="00B86213" w:rsidRPr="005F23EA" w:rsidRDefault="00B86213" w:rsidP="00542B86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S</w:t>
            </w:r>
            <w:r w:rsidRPr="005F23EA">
              <w:rPr>
                <w:rFonts w:eastAsia="MS MinNew Roman"/>
              </w:rPr>
              <w:t>zondázási mélység 3,5-5,5 mm (a szonda fekete sávja csak részben látszik)</w:t>
            </w:r>
          </w:p>
        </w:tc>
      </w:tr>
      <w:tr w:rsidR="00B86213" w:rsidRPr="005F23EA" w:rsidTr="00542B86">
        <w:tc>
          <w:tcPr>
            <w:tcW w:w="596" w:type="dxa"/>
          </w:tcPr>
          <w:p w:rsidR="00B86213" w:rsidRPr="005F23EA" w:rsidRDefault="00B86213" w:rsidP="00542B86">
            <w:pPr>
              <w:jc w:val="center"/>
              <w:rPr>
                <w:rFonts w:eastAsia="MS MinNew Roman"/>
              </w:rPr>
            </w:pPr>
            <w:r w:rsidRPr="005F23EA">
              <w:rPr>
                <w:rFonts w:eastAsia="MS MinNew Roman"/>
              </w:rPr>
              <w:t>4</w:t>
            </w:r>
          </w:p>
        </w:tc>
        <w:tc>
          <w:tcPr>
            <w:tcW w:w="8414" w:type="dxa"/>
          </w:tcPr>
          <w:p w:rsidR="00B86213" w:rsidRPr="005F23EA" w:rsidRDefault="00B86213" w:rsidP="00542B86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S</w:t>
            </w:r>
            <w:r w:rsidRPr="005F23EA">
              <w:rPr>
                <w:rFonts w:eastAsia="MS MinNew Roman"/>
              </w:rPr>
              <w:t xml:space="preserve">zondázási mélység </w:t>
            </w:r>
            <w:r w:rsidRPr="005F23EA">
              <w:rPr>
                <w:rFonts w:eastAsia="MS MinNew Roman" w:cs="Times New Roman"/>
              </w:rPr>
              <w:sym w:font="Symbol" w:char="F03E"/>
            </w:r>
            <w:r w:rsidRPr="005F23EA">
              <w:rPr>
                <w:rFonts w:eastAsia="MS MinNew Roman"/>
              </w:rPr>
              <w:t>5,</w:t>
            </w:r>
            <w:proofErr w:type="spellStart"/>
            <w:r w:rsidRPr="005F23EA">
              <w:rPr>
                <w:rFonts w:eastAsia="MS MinNew Roman"/>
              </w:rPr>
              <w:t>5</w:t>
            </w:r>
            <w:proofErr w:type="spellEnd"/>
            <w:r w:rsidRPr="005F23EA">
              <w:rPr>
                <w:rFonts w:eastAsia="MS MinNew Roman"/>
              </w:rPr>
              <w:t xml:space="preserve"> mm </w:t>
            </w:r>
            <w:proofErr w:type="gramStart"/>
            <w:r w:rsidRPr="005F23EA">
              <w:rPr>
                <w:rFonts w:eastAsia="MS MinNew Roman"/>
              </w:rPr>
              <w:t>( a</w:t>
            </w:r>
            <w:proofErr w:type="gramEnd"/>
            <w:r w:rsidRPr="005F23EA">
              <w:rPr>
                <w:rFonts w:eastAsia="MS MinNew Roman"/>
              </w:rPr>
              <w:t xml:space="preserve"> szonda fekete sávja teljesen a tasakba süllyed)</w:t>
            </w:r>
          </w:p>
        </w:tc>
      </w:tr>
      <w:tr w:rsidR="00B86213" w:rsidRPr="005F23EA" w:rsidTr="00542B86">
        <w:tc>
          <w:tcPr>
            <w:tcW w:w="596" w:type="dxa"/>
          </w:tcPr>
          <w:p w:rsidR="00B86213" w:rsidRPr="005F23EA" w:rsidRDefault="00B86213" w:rsidP="00542B86">
            <w:pPr>
              <w:jc w:val="center"/>
              <w:rPr>
                <w:rFonts w:eastAsia="MS MinNew Roman"/>
              </w:rPr>
            </w:pPr>
            <w:r w:rsidRPr="005F23EA">
              <w:rPr>
                <w:rFonts w:eastAsia="MS MinNew Roman"/>
              </w:rPr>
              <w:t>*</w:t>
            </w:r>
          </w:p>
        </w:tc>
        <w:tc>
          <w:tcPr>
            <w:tcW w:w="8414" w:type="dxa"/>
          </w:tcPr>
          <w:p w:rsidR="00B86213" w:rsidRPr="005F23EA" w:rsidRDefault="00B86213" w:rsidP="00542B86">
            <w:pPr>
              <w:rPr>
                <w:rFonts w:eastAsia="MS MinNew Roman"/>
              </w:rPr>
            </w:pPr>
            <w:proofErr w:type="spellStart"/>
            <w:r>
              <w:rPr>
                <w:rFonts w:eastAsia="MS MinNew Roman"/>
              </w:rPr>
              <w:t>Furkáció</w:t>
            </w:r>
            <w:proofErr w:type="spellEnd"/>
            <w:r>
              <w:rPr>
                <w:rFonts w:eastAsia="MS MinNew Roman"/>
              </w:rPr>
              <w:t xml:space="preserve"> </w:t>
            </w:r>
            <w:r w:rsidRPr="005F23EA">
              <w:rPr>
                <w:rFonts w:eastAsia="MS MinNew Roman"/>
              </w:rPr>
              <w:t>is érintett</w:t>
            </w:r>
          </w:p>
        </w:tc>
      </w:tr>
    </w:tbl>
    <w:p w:rsidR="00B86213" w:rsidRDefault="00B86213" w:rsidP="00B86213">
      <w:pPr>
        <w:pStyle w:val="Listaszerbekezds"/>
        <w:numPr>
          <w:ilvl w:val="0"/>
          <w:numId w:val="2"/>
        </w:numPr>
      </w:pPr>
      <w:r>
        <w:t xml:space="preserve">„Sétáló szondázással” haladunk végig a fogak mellett mindegyik szextánsban, majd a legmagasabb értéket rögzítjük. Ha egy szextánsban 4-es érték előfordul, továbbléphetünk a következőre, mivel ilyen esetben ajánlott teljes </w:t>
      </w:r>
      <w:proofErr w:type="spellStart"/>
      <w:r>
        <w:t>parodontális</w:t>
      </w:r>
      <w:proofErr w:type="spellEnd"/>
      <w:r>
        <w:t xml:space="preserve"> státuszt rögzíteni. Ez segít a fogágy állapotának pontosabb megítélésében, és így biztosak lehetünk benne, hogy a </w:t>
      </w:r>
      <w:proofErr w:type="spellStart"/>
      <w:r>
        <w:t>furkációk</w:t>
      </w:r>
      <w:proofErr w:type="spellEnd"/>
      <w:r>
        <w:t xml:space="preserve"> vizsgálata sem marad ki. Ha 4-es érték nem fordult elő, akkor sétálva haladjunk végig a szextánson, hogy biztosan a legnagyobb értéket rögzítsük.</w:t>
      </w:r>
    </w:p>
    <w:p w:rsidR="00B86213" w:rsidRDefault="00B86213" w:rsidP="00B86213">
      <w:pPr>
        <w:rPr>
          <w:rFonts w:cs="Times New Roman"/>
        </w:rPr>
      </w:pPr>
    </w:p>
    <w:p w:rsidR="00B86213" w:rsidRDefault="00B86213" w:rsidP="00B86213">
      <w:pPr>
        <w:rPr>
          <w:b/>
          <w:bCs/>
        </w:rPr>
      </w:pPr>
    </w:p>
    <w:p w:rsidR="00B86213" w:rsidRPr="007F744B" w:rsidRDefault="00B86213" w:rsidP="00B86213">
      <w:pPr>
        <w:rPr>
          <w:b/>
          <w:bCs/>
        </w:rPr>
      </w:pPr>
      <w:r w:rsidRPr="007F744B">
        <w:rPr>
          <w:b/>
          <w:bCs/>
        </w:rPr>
        <w:t>Pontozási szabályok</w:t>
      </w:r>
    </w:p>
    <w:p w:rsidR="00B86213" w:rsidRDefault="00B86213" w:rsidP="00B86213">
      <w:pPr>
        <w:rPr>
          <w:rFonts w:cs="Times New Roman"/>
        </w:rPr>
      </w:pPr>
    </w:p>
    <w:p w:rsidR="00B86213" w:rsidRDefault="00B86213" w:rsidP="00B86213">
      <w:r>
        <w:t xml:space="preserve">A szám és a * is rögzítendő, ha a </w:t>
      </w:r>
      <w:proofErr w:type="spellStart"/>
      <w:r>
        <w:t>furkáció</w:t>
      </w:r>
      <w:proofErr w:type="spellEnd"/>
      <w:r>
        <w:t xml:space="preserve"> is érintett, például egy szextáns pontszáma lehet 3*, ha a szondázási mélység 3,5-5,5 mm </w:t>
      </w:r>
      <w:proofErr w:type="gramStart"/>
      <w:r>
        <w:t>ÉS</w:t>
      </w:r>
      <w:proofErr w:type="gramEnd"/>
      <w:r>
        <w:t xml:space="preserve"> a </w:t>
      </w:r>
      <w:proofErr w:type="spellStart"/>
      <w:r>
        <w:t>furkáció</w:t>
      </w:r>
      <w:proofErr w:type="spellEnd"/>
      <w:r>
        <w:t xml:space="preserve"> is érintett legalább egy fog mellett.</w:t>
      </w:r>
    </w:p>
    <w:p w:rsidR="00B86213" w:rsidRDefault="00B86213" w:rsidP="00B86213"/>
    <w:p w:rsidR="00B86213" w:rsidRDefault="00B86213" w:rsidP="00B86213">
      <w:pPr>
        <w:rPr>
          <w:b/>
          <w:bCs/>
        </w:rPr>
      </w:pPr>
      <w:r w:rsidRPr="007F744B">
        <w:rPr>
          <w:b/>
          <w:bCs/>
        </w:rPr>
        <w:t xml:space="preserve">Egy </w:t>
      </w:r>
      <w:proofErr w:type="spellStart"/>
      <w:r w:rsidRPr="007F744B">
        <w:rPr>
          <w:b/>
          <w:bCs/>
        </w:rPr>
        <w:t>példa-BPE</w:t>
      </w:r>
      <w:proofErr w:type="spellEnd"/>
      <w:r w:rsidRPr="007F744B">
        <w:rPr>
          <w:b/>
          <w:bCs/>
        </w:rPr>
        <w:t xml:space="preserve"> </w:t>
      </w:r>
      <w:proofErr w:type="spellStart"/>
      <w:r w:rsidRPr="007F744B">
        <w:rPr>
          <w:b/>
          <w:bCs/>
        </w:rPr>
        <w:t>regisztrátum</w:t>
      </w:r>
      <w:proofErr w:type="spellEnd"/>
      <w:r w:rsidRPr="007F744B">
        <w:rPr>
          <w:b/>
          <w:bCs/>
        </w:rPr>
        <w:t xml:space="preserve"> így fest:</w:t>
      </w:r>
    </w:p>
    <w:p w:rsidR="00B86213" w:rsidRPr="007F744B" w:rsidRDefault="00B86213" w:rsidP="00B86213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6"/>
        <w:gridCol w:w="1166"/>
        <w:gridCol w:w="1167"/>
      </w:tblGrid>
      <w:tr w:rsidR="00B86213" w:rsidRPr="005F23EA" w:rsidTr="00542B86">
        <w:trPr>
          <w:trHeight w:val="267"/>
        </w:trPr>
        <w:tc>
          <w:tcPr>
            <w:tcW w:w="1166" w:type="dxa"/>
          </w:tcPr>
          <w:p w:rsidR="00B86213" w:rsidRPr="005F23EA" w:rsidRDefault="00B86213" w:rsidP="00542B86">
            <w:pPr>
              <w:jc w:val="center"/>
              <w:rPr>
                <w:rFonts w:eastAsia="MS MinNew Roman"/>
              </w:rPr>
            </w:pPr>
            <w:r w:rsidRPr="005F23EA">
              <w:rPr>
                <w:rFonts w:eastAsia="MS MinNew Roman"/>
              </w:rPr>
              <w:t>4</w:t>
            </w:r>
          </w:p>
        </w:tc>
        <w:tc>
          <w:tcPr>
            <w:tcW w:w="1166" w:type="dxa"/>
          </w:tcPr>
          <w:p w:rsidR="00B86213" w:rsidRPr="005F23EA" w:rsidRDefault="00B86213" w:rsidP="00542B86">
            <w:pPr>
              <w:jc w:val="center"/>
              <w:rPr>
                <w:rFonts w:eastAsia="MS MinNew Roman"/>
              </w:rPr>
            </w:pPr>
            <w:r w:rsidRPr="005F23EA">
              <w:rPr>
                <w:rFonts w:eastAsia="MS MinNew Roman"/>
              </w:rPr>
              <w:t>3</w:t>
            </w:r>
          </w:p>
        </w:tc>
        <w:tc>
          <w:tcPr>
            <w:tcW w:w="1167" w:type="dxa"/>
          </w:tcPr>
          <w:p w:rsidR="00B86213" w:rsidRPr="005F23EA" w:rsidRDefault="00B86213" w:rsidP="00542B86">
            <w:pPr>
              <w:jc w:val="center"/>
              <w:rPr>
                <w:rFonts w:eastAsia="MS MinNew Roman"/>
              </w:rPr>
            </w:pPr>
            <w:r w:rsidRPr="005F23EA">
              <w:rPr>
                <w:rFonts w:eastAsia="MS MinNew Roman"/>
              </w:rPr>
              <w:t>3*</w:t>
            </w:r>
          </w:p>
        </w:tc>
      </w:tr>
      <w:tr w:rsidR="00B86213" w:rsidRPr="005F23EA" w:rsidTr="00542B86">
        <w:trPr>
          <w:trHeight w:val="267"/>
        </w:trPr>
        <w:tc>
          <w:tcPr>
            <w:tcW w:w="1166" w:type="dxa"/>
          </w:tcPr>
          <w:p w:rsidR="00B86213" w:rsidRPr="005F23EA" w:rsidRDefault="00B86213" w:rsidP="00542B86">
            <w:pPr>
              <w:jc w:val="center"/>
              <w:rPr>
                <w:rFonts w:eastAsia="MS MinNew Roman"/>
              </w:rPr>
            </w:pPr>
            <w:r w:rsidRPr="005F23EA">
              <w:rPr>
                <w:rFonts w:eastAsia="MS MinNew Roman"/>
              </w:rPr>
              <w:t>-</w:t>
            </w:r>
          </w:p>
        </w:tc>
        <w:tc>
          <w:tcPr>
            <w:tcW w:w="1166" w:type="dxa"/>
          </w:tcPr>
          <w:p w:rsidR="00B86213" w:rsidRPr="005F23EA" w:rsidRDefault="00B86213" w:rsidP="00542B86">
            <w:pPr>
              <w:jc w:val="center"/>
              <w:rPr>
                <w:rFonts w:eastAsia="MS MinNew Roman"/>
              </w:rPr>
            </w:pPr>
            <w:r w:rsidRPr="005F23EA">
              <w:rPr>
                <w:rFonts w:eastAsia="MS MinNew Roman"/>
              </w:rPr>
              <w:t>2</w:t>
            </w:r>
          </w:p>
        </w:tc>
        <w:tc>
          <w:tcPr>
            <w:tcW w:w="1167" w:type="dxa"/>
          </w:tcPr>
          <w:p w:rsidR="00B86213" w:rsidRPr="005F23EA" w:rsidRDefault="00B86213" w:rsidP="00542B86">
            <w:pPr>
              <w:jc w:val="center"/>
              <w:rPr>
                <w:rFonts w:eastAsia="MS MinNew Roman"/>
              </w:rPr>
            </w:pPr>
            <w:r w:rsidRPr="005F23EA">
              <w:rPr>
                <w:rFonts w:eastAsia="MS MinNew Roman"/>
              </w:rPr>
              <w:t>4*</w:t>
            </w:r>
          </w:p>
        </w:tc>
      </w:tr>
    </w:tbl>
    <w:p w:rsidR="00B86213" w:rsidRDefault="00B86213" w:rsidP="00B86213">
      <w:pPr>
        <w:rPr>
          <w:rFonts w:cs="Times New Roman"/>
          <w:b/>
          <w:bCs/>
        </w:rPr>
      </w:pPr>
    </w:p>
    <w:p w:rsidR="00B86213" w:rsidRDefault="00B86213" w:rsidP="00B86213">
      <w:pPr>
        <w:rPr>
          <w:b/>
          <w:bCs/>
        </w:rPr>
      </w:pPr>
      <w:r w:rsidRPr="007F744B">
        <w:rPr>
          <w:b/>
          <w:bCs/>
        </w:rPr>
        <w:lastRenderedPageBreak/>
        <w:t xml:space="preserve">Mikor rögzítsük a </w:t>
      </w:r>
      <w:proofErr w:type="spellStart"/>
      <w:r w:rsidRPr="007F744B">
        <w:rPr>
          <w:b/>
          <w:bCs/>
        </w:rPr>
        <w:t>BPE-t</w:t>
      </w:r>
      <w:proofErr w:type="spellEnd"/>
      <w:r w:rsidRPr="007F744B">
        <w:rPr>
          <w:b/>
          <w:bCs/>
        </w:rPr>
        <w:t>?</w:t>
      </w:r>
    </w:p>
    <w:p w:rsidR="00B86213" w:rsidRDefault="00B86213" w:rsidP="00B86213">
      <w:pPr>
        <w:rPr>
          <w:rFonts w:cs="Times New Roman"/>
          <w:b/>
          <w:bCs/>
        </w:rPr>
      </w:pPr>
    </w:p>
    <w:p w:rsidR="00B86213" w:rsidRDefault="00B86213" w:rsidP="00B86213">
      <w:pPr>
        <w:pStyle w:val="Listaszerbekezds"/>
        <w:numPr>
          <w:ilvl w:val="0"/>
          <w:numId w:val="3"/>
        </w:numPr>
      </w:pPr>
      <w:r w:rsidRPr="00D13573">
        <w:t xml:space="preserve">Minden </w:t>
      </w:r>
      <w:r>
        <w:t>új páciensnél</w:t>
      </w:r>
    </w:p>
    <w:p w:rsidR="00B86213" w:rsidRDefault="00B86213" w:rsidP="00B86213">
      <w:pPr>
        <w:pStyle w:val="Listaszerbekezds"/>
        <w:numPr>
          <w:ilvl w:val="0"/>
          <w:numId w:val="3"/>
        </w:numPr>
      </w:pPr>
      <w:r>
        <w:t xml:space="preserve">A 0,1,2 értéket mutató esetekben legalább évente rögzítsük újra a </w:t>
      </w:r>
      <w:proofErr w:type="spellStart"/>
      <w:r>
        <w:t>BPE-t</w:t>
      </w:r>
      <w:proofErr w:type="spellEnd"/>
    </w:p>
    <w:p w:rsidR="00B86213" w:rsidRDefault="00B86213" w:rsidP="00B86213">
      <w:pPr>
        <w:pStyle w:val="Listaszerbekezds"/>
        <w:numPr>
          <w:ilvl w:val="0"/>
          <w:numId w:val="3"/>
        </w:numPr>
      </w:pPr>
      <w:r>
        <w:t xml:space="preserve">A 3,4 értékek esetében részletesebb </w:t>
      </w:r>
      <w:proofErr w:type="spellStart"/>
      <w:r>
        <w:t>parodontális</w:t>
      </w:r>
      <w:proofErr w:type="spellEnd"/>
      <w:r>
        <w:t xml:space="preserve"> státuszfelvétel szükséges:</w:t>
      </w:r>
    </w:p>
    <w:p w:rsidR="00B86213" w:rsidRDefault="00B86213" w:rsidP="00B86213">
      <w:pPr>
        <w:pStyle w:val="Listaszerbekezds"/>
        <w:numPr>
          <w:ilvl w:val="1"/>
          <w:numId w:val="3"/>
        </w:numPr>
      </w:pPr>
      <w:r>
        <w:t xml:space="preserve">3-as értéknél: rögzítsünk szondázási mélységet (foganként 6 felszínen) a 3-as értéket adó </w:t>
      </w:r>
      <w:proofErr w:type="gramStart"/>
      <w:r>
        <w:t>szextáns(</w:t>
      </w:r>
      <w:proofErr w:type="gramEnd"/>
      <w:r>
        <w:t>ok)</w:t>
      </w:r>
      <w:proofErr w:type="spellStart"/>
      <w:r>
        <w:t>ban</w:t>
      </w:r>
      <w:proofErr w:type="spellEnd"/>
    </w:p>
    <w:p w:rsidR="00B86213" w:rsidRDefault="00B86213" w:rsidP="00B86213">
      <w:pPr>
        <w:pStyle w:val="Listaszerbekezds"/>
        <w:numPr>
          <w:ilvl w:val="1"/>
          <w:numId w:val="3"/>
        </w:numPr>
      </w:pPr>
      <w:r>
        <w:t xml:space="preserve">4-es értéknél: rögzítsünk teljes </w:t>
      </w:r>
      <w:proofErr w:type="spellStart"/>
      <w:r>
        <w:t>parodontális</w:t>
      </w:r>
      <w:proofErr w:type="spellEnd"/>
      <w:r>
        <w:t xml:space="preserve"> státuszt (foganként itt is 6 felszínen mérve a szondázási mélységet) a teljes fogazatra kiterjedően, bármelyik szextánsban is találtuk a 4-es értéket.</w:t>
      </w:r>
    </w:p>
    <w:p w:rsidR="00B86213" w:rsidRDefault="00B86213" w:rsidP="00B86213">
      <w:pPr>
        <w:pStyle w:val="Listaszerbekezds"/>
        <w:numPr>
          <w:ilvl w:val="0"/>
          <w:numId w:val="3"/>
        </w:numPr>
      </w:pPr>
      <w:r>
        <w:t xml:space="preserve">A BPE nem alkalmas a </w:t>
      </w:r>
      <w:proofErr w:type="spellStart"/>
      <w:r>
        <w:t>parodontális</w:t>
      </w:r>
      <w:proofErr w:type="spellEnd"/>
      <w:r>
        <w:t xml:space="preserve"> terápia eredményének értékelésére, mert nem nyújt információt arról, hogy kezelés után hogyan változtak az egyes területek egy adott szextánson belül. Hogy a terápiára adott választ értékelni tudjuk, a kezelés előtt és után is rögzítenünk kell többek között a szondázási mélységet és a fogínyvérzést (foganként 6 felszínen).</w:t>
      </w:r>
    </w:p>
    <w:p w:rsidR="00B86213" w:rsidRDefault="00B86213" w:rsidP="00B86213">
      <w:pPr>
        <w:pStyle w:val="Listaszerbekezds"/>
        <w:numPr>
          <w:ilvl w:val="0"/>
          <w:numId w:val="3"/>
        </w:numPr>
      </w:pPr>
      <w:r>
        <w:t xml:space="preserve">Azoknál a pácienseknél, akik 3-as vagy 4-es kiindulási értékek regisztrálása után </w:t>
      </w:r>
      <w:proofErr w:type="spellStart"/>
      <w:r>
        <w:t>parodontális</w:t>
      </w:r>
      <w:proofErr w:type="spellEnd"/>
      <w:r>
        <w:t xml:space="preserve"> terápián estek át, és a kezelés fenntartó fázisába léptek, legalább évente teljes </w:t>
      </w:r>
      <w:proofErr w:type="spellStart"/>
      <w:r>
        <w:t>parodontális</w:t>
      </w:r>
      <w:proofErr w:type="spellEnd"/>
      <w:r>
        <w:t xml:space="preserve"> státusz rögzítése indokolt.</w:t>
      </w:r>
    </w:p>
    <w:tbl>
      <w:tblPr>
        <w:tblpPr w:leftFromText="180" w:rightFromText="180" w:vertAnchor="page" w:horzAnchor="page" w:tblpX="1450" w:tblpY="8285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8671"/>
      </w:tblGrid>
      <w:tr w:rsidR="00B86213" w:rsidRPr="005F23EA" w:rsidTr="00542B86">
        <w:trPr>
          <w:trHeight w:val="183"/>
        </w:trPr>
        <w:tc>
          <w:tcPr>
            <w:tcW w:w="575" w:type="dxa"/>
          </w:tcPr>
          <w:p w:rsidR="00B86213" w:rsidRPr="005F23EA" w:rsidRDefault="00B86213" w:rsidP="00542B86">
            <w:pPr>
              <w:jc w:val="center"/>
              <w:rPr>
                <w:rFonts w:eastAsia="MS MinNew Roman"/>
              </w:rPr>
            </w:pPr>
            <w:r w:rsidRPr="005F23EA">
              <w:rPr>
                <w:rFonts w:eastAsia="MS MinNew Roman"/>
              </w:rPr>
              <w:t>0</w:t>
            </w:r>
          </w:p>
        </w:tc>
        <w:tc>
          <w:tcPr>
            <w:tcW w:w="8671" w:type="dxa"/>
          </w:tcPr>
          <w:p w:rsidR="00B86213" w:rsidRPr="005F23EA" w:rsidRDefault="00B86213" w:rsidP="00542B86">
            <w:pPr>
              <w:rPr>
                <w:rFonts w:eastAsia="MS MinNew Roman"/>
              </w:rPr>
            </w:pPr>
            <w:proofErr w:type="spellStart"/>
            <w:r w:rsidRPr="005F23EA">
              <w:rPr>
                <w:rFonts w:eastAsia="MS MinNew Roman"/>
              </w:rPr>
              <w:t>Parodontális</w:t>
            </w:r>
            <w:proofErr w:type="spellEnd"/>
            <w:r w:rsidRPr="005F23EA">
              <w:rPr>
                <w:rFonts w:eastAsia="MS MinNew Roman"/>
              </w:rPr>
              <w:t xml:space="preserve"> kezelésre nincs szükség</w:t>
            </w:r>
            <w:r>
              <w:rPr>
                <w:rFonts w:eastAsia="MS MinNew Roman"/>
              </w:rPr>
              <w:t>, eddigi tisztítási technika megerősítése.</w:t>
            </w:r>
          </w:p>
        </w:tc>
      </w:tr>
      <w:tr w:rsidR="00B86213" w:rsidRPr="005F23EA" w:rsidTr="00542B86">
        <w:trPr>
          <w:trHeight w:val="183"/>
        </w:trPr>
        <w:tc>
          <w:tcPr>
            <w:tcW w:w="575" w:type="dxa"/>
          </w:tcPr>
          <w:p w:rsidR="00B86213" w:rsidRPr="005F23EA" w:rsidRDefault="00B86213" w:rsidP="00542B86">
            <w:pPr>
              <w:jc w:val="center"/>
              <w:rPr>
                <w:rFonts w:eastAsia="MS MinNew Roman"/>
              </w:rPr>
            </w:pPr>
            <w:r w:rsidRPr="005F23EA">
              <w:rPr>
                <w:rFonts w:eastAsia="MS MinNew Roman"/>
              </w:rPr>
              <w:t>1</w:t>
            </w:r>
          </w:p>
        </w:tc>
        <w:tc>
          <w:tcPr>
            <w:tcW w:w="8671" w:type="dxa"/>
          </w:tcPr>
          <w:p w:rsidR="00B86213" w:rsidRPr="005F23EA" w:rsidRDefault="00B86213" w:rsidP="00542B86">
            <w:pPr>
              <w:rPr>
                <w:rFonts w:eastAsia="MS MinNew Roman"/>
              </w:rPr>
            </w:pPr>
            <w:proofErr w:type="spellStart"/>
            <w:r w:rsidRPr="005F23EA">
              <w:rPr>
                <w:rFonts w:eastAsia="MS MinNew Roman"/>
              </w:rPr>
              <w:t>Szájhigiénés</w:t>
            </w:r>
            <w:proofErr w:type="spellEnd"/>
            <w:r w:rsidRPr="005F23EA">
              <w:rPr>
                <w:rFonts w:eastAsia="MS MinNew Roman"/>
              </w:rPr>
              <w:t xml:space="preserve"> instruálás és motiválás szükséges (=OHI=</w:t>
            </w:r>
            <w:proofErr w:type="spellStart"/>
            <w:r w:rsidRPr="005F23EA">
              <w:rPr>
                <w:rFonts w:eastAsia="MS MinNew Roman"/>
              </w:rPr>
              <w:t>Oral</w:t>
            </w:r>
            <w:proofErr w:type="spellEnd"/>
            <w:r w:rsidRPr="005F23EA">
              <w:rPr>
                <w:rFonts w:eastAsia="MS MinNew Roman"/>
              </w:rPr>
              <w:t xml:space="preserve"> </w:t>
            </w:r>
            <w:proofErr w:type="spellStart"/>
            <w:r w:rsidRPr="005F23EA">
              <w:rPr>
                <w:rFonts w:eastAsia="MS MinNew Roman"/>
              </w:rPr>
              <w:t>hygiene</w:t>
            </w:r>
            <w:proofErr w:type="spellEnd"/>
            <w:r w:rsidRPr="005F23EA">
              <w:rPr>
                <w:rFonts w:eastAsia="MS MinNew Roman"/>
              </w:rPr>
              <w:t xml:space="preserve"> </w:t>
            </w:r>
            <w:proofErr w:type="spellStart"/>
            <w:r w:rsidRPr="005F23EA">
              <w:rPr>
                <w:rFonts w:eastAsia="MS MinNew Roman"/>
              </w:rPr>
              <w:t>instruction</w:t>
            </w:r>
            <w:proofErr w:type="spellEnd"/>
            <w:r w:rsidRPr="005F23EA">
              <w:rPr>
                <w:rFonts w:eastAsia="MS MinNew Roman"/>
              </w:rPr>
              <w:t>)</w:t>
            </w:r>
          </w:p>
        </w:tc>
      </w:tr>
      <w:tr w:rsidR="00B86213" w:rsidRPr="005F23EA" w:rsidTr="00542B86">
        <w:trPr>
          <w:trHeight w:val="183"/>
        </w:trPr>
        <w:tc>
          <w:tcPr>
            <w:tcW w:w="575" w:type="dxa"/>
          </w:tcPr>
          <w:p w:rsidR="00B86213" w:rsidRPr="005F23EA" w:rsidRDefault="00B86213" w:rsidP="00542B86">
            <w:pPr>
              <w:jc w:val="center"/>
              <w:rPr>
                <w:rFonts w:eastAsia="MS MinNew Roman"/>
              </w:rPr>
            </w:pPr>
            <w:r w:rsidRPr="005F23EA">
              <w:rPr>
                <w:rFonts w:eastAsia="MS MinNew Roman"/>
              </w:rPr>
              <w:t>2</w:t>
            </w:r>
          </w:p>
        </w:tc>
        <w:tc>
          <w:tcPr>
            <w:tcW w:w="8671" w:type="dxa"/>
          </w:tcPr>
          <w:p w:rsidR="00B86213" w:rsidRPr="005F23EA" w:rsidRDefault="00B86213" w:rsidP="00542B86">
            <w:pPr>
              <w:rPr>
                <w:rFonts w:eastAsia="MS MinNew Roman"/>
              </w:rPr>
            </w:pPr>
            <w:r w:rsidRPr="005F23EA">
              <w:rPr>
                <w:rFonts w:eastAsia="MS MinNew Roman"/>
              </w:rPr>
              <w:t xml:space="preserve">OHI, </w:t>
            </w:r>
            <w:proofErr w:type="spellStart"/>
            <w:r w:rsidRPr="005F23EA">
              <w:rPr>
                <w:rFonts w:eastAsia="MS MinNew Roman"/>
              </w:rPr>
              <w:t>plakkretentív</w:t>
            </w:r>
            <w:proofErr w:type="spellEnd"/>
            <w:r w:rsidRPr="005F23EA">
              <w:rPr>
                <w:rFonts w:eastAsia="MS MinNew Roman"/>
              </w:rPr>
              <w:t xml:space="preserve"> faktorok eltávolítása szükséges</w:t>
            </w:r>
          </w:p>
        </w:tc>
      </w:tr>
      <w:tr w:rsidR="00B86213" w:rsidRPr="005F23EA" w:rsidTr="00542B86">
        <w:trPr>
          <w:trHeight w:val="189"/>
        </w:trPr>
        <w:tc>
          <w:tcPr>
            <w:tcW w:w="575" w:type="dxa"/>
          </w:tcPr>
          <w:p w:rsidR="00B86213" w:rsidRPr="005F23EA" w:rsidRDefault="00B86213" w:rsidP="00542B86">
            <w:pPr>
              <w:jc w:val="center"/>
              <w:rPr>
                <w:rFonts w:eastAsia="MS MinNew Roman"/>
              </w:rPr>
            </w:pPr>
            <w:r w:rsidRPr="005F23EA">
              <w:rPr>
                <w:rFonts w:eastAsia="MS MinNew Roman"/>
              </w:rPr>
              <w:t>3</w:t>
            </w:r>
          </w:p>
        </w:tc>
        <w:tc>
          <w:tcPr>
            <w:tcW w:w="8671" w:type="dxa"/>
          </w:tcPr>
          <w:p w:rsidR="00B86213" w:rsidRPr="005F23EA" w:rsidRDefault="00B86213" w:rsidP="00542B86">
            <w:pPr>
              <w:rPr>
                <w:rFonts w:eastAsia="MS MinNew Roman"/>
              </w:rPr>
            </w:pPr>
            <w:r w:rsidRPr="005F23EA">
              <w:rPr>
                <w:rFonts w:eastAsia="MS MinNew Roman"/>
              </w:rPr>
              <w:t>OHI</w:t>
            </w:r>
            <w:proofErr w:type="gramStart"/>
            <w:r w:rsidRPr="005F23EA">
              <w:rPr>
                <w:rFonts w:eastAsia="MS MinNew Roman"/>
              </w:rPr>
              <w:t xml:space="preserve">,  </w:t>
            </w:r>
            <w:proofErr w:type="spellStart"/>
            <w:r w:rsidRPr="005F23EA">
              <w:rPr>
                <w:rFonts w:eastAsia="MS MinNew Roman"/>
              </w:rPr>
              <w:t>plakkretentív</w:t>
            </w:r>
            <w:proofErr w:type="spellEnd"/>
            <w:proofErr w:type="gramEnd"/>
            <w:r w:rsidRPr="005F23EA">
              <w:rPr>
                <w:rFonts w:eastAsia="MS MinNew Roman"/>
              </w:rPr>
              <w:t xml:space="preserve"> faktorok eltávolítása és gyökérfelszín </w:t>
            </w:r>
            <w:r>
              <w:rPr>
                <w:rFonts w:eastAsia="MS MinNew Roman"/>
              </w:rPr>
              <w:t>tisztítás</w:t>
            </w:r>
            <w:r w:rsidRPr="005F23EA">
              <w:rPr>
                <w:rFonts w:eastAsia="MS MinNew Roman"/>
              </w:rPr>
              <w:t xml:space="preserve"> szükséges</w:t>
            </w:r>
          </w:p>
        </w:tc>
      </w:tr>
      <w:tr w:rsidR="00B86213" w:rsidRPr="005F23EA" w:rsidTr="00542B86">
        <w:trPr>
          <w:trHeight w:val="316"/>
        </w:trPr>
        <w:tc>
          <w:tcPr>
            <w:tcW w:w="575" w:type="dxa"/>
          </w:tcPr>
          <w:p w:rsidR="00B86213" w:rsidRPr="005F23EA" w:rsidRDefault="00B86213" w:rsidP="00542B86">
            <w:pPr>
              <w:jc w:val="center"/>
              <w:rPr>
                <w:rFonts w:eastAsia="MS MinNew Roman"/>
              </w:rPr>
            </w:pPr>
            <w:r w:rsidRPr="005F23EA">
              <w:rPr>
                <w:rFonts w:eastAsia="MS MinNew Roman"/>
              </w:rPr>
              <w:t>4</w:t>
            </w:r>
          </w:p>
        </w:tc>
        <w:tc>
          <w:tcPr>
            <w:tcW w:w="8671" w:type="dxa"/>
          </w:tcPr>
          <w:p w:rsidR="00B86213" w:rsidRPr="005F23EA" w:rsidRDefault="00B86213" w:rsidP="00542B86">
            <w:pPr>
              <w:rPr>
                <w:rFonts w:eastAsia="MS MinNew Roman"/>
              </w:rPr>
            </w:pPr>
            <w:r w:rsidRPr="005F23EA">
              <w:rPr>
                <w:rFonts w:eastAsia="MS MinNew Roman"/>
              </w:rPr>
              <w:t xml:space="preserve">Az előbbiek mellett egy komplex kezelési terv és szakrendelésre utalás megfontolandó </w:t>
            </w:r>
          </w:p>
        </w:tc>
      </w:tr>
      <w:tr w:rsidR="00B86213" w:rsidRPr="005F23EA" w:rsidTr="00542B86">
        <w:trPr>
          <w:trHeight w:val="183"/>
        </w:trPr>
        <w:tc>
          <w:tcPr>
            <w:tcW w:w="575" w:type="dxa"/>
          </w:tcPr>
          <w:p w:rsidR="00B86213" w:rsidRPr="005F23EA" w:rsidRDefault="00B86213" w:rsidP="00542B86">
            <w:pPr>
              <w:jc w:val="center"/>
              <w:rPr>
                <w:rFonts w:eastAsia="MS MinNew Roman"/>
              </w:rPr>
            </w:pPr>
            <w:r w:rsidRPr="005F23EA">
              <w:rPr>
                <w:rFonts w:eastAsia="MS MinNew Roman"/>
              </w:rPr>
              <w:t>*</w:t>
            </w:r>
          </w:p>
        </w:tc>
        <w:tc>
          <w:tcPr>
            <w:tcW w:w="8671" w:type="dxa"/>
          </w:tcPr>
          <w:p w:rsidR="00B86213" w:rsidRPr="005F23EA" w:rsidRDefault="00B86213" w:rsidP="00542B86">
            <w:pPr>
              <w:rPr>
                <w:rFonts w:eastAsia="MS MinNew Roman" w:cs="Times New Roman"/>
              </w:rPr>
            </w:pPr>
            <w:r w:rsidRPr="005F23EA">
              <w:rPr>
                <w:rFonts w:eastAsia="MS MinNew Roman"/>
              </w:rPr>
              <w:t xml:space="preserve">Az előbbiek mellett egy komplex kezelési terv és szakrendelésre utalás megfontolandó </w:t>
            </w:r>
          </w:p>
        </w:tc>
      </w:tr>
    </w:tbl>
    <w:p w:rsidR="00B86213" w:rsidRDefault="00B86213" w:rsidP="00B86213">
      <w:pPr>
        <w:rPr>
          <w:rFonts w:cs="Times New Roman"/>
        </w:rPr>
      </w:pPr>
    </w:p>
    <w:p w:rsidR="00B86213" w:rsidRDefault="00B86213" w:rsidP="00B86213">
      <w:pPr>
        <w:rPr>
          <w:b/>
          <w:bCs/>
        </w:rPr>
      </w:pPr>
      <w:r w:rsidRPr="0013067F">
        <w:rPr>
          <w:b/>
          <w:bCs/>
        </w:rPr>
        <w:t xml:space="preserve">Segítség a </w:t>
      </w:r>
      <w:proofErr w:type="spellStart"/>
      <w:r w:rsidRPr="0013067F">
        <w:rPr>
          <w:b/>
          <w:bCs/>
        </w:rPr>
        <w:t>BPE-pontszámok</w:t>
      </w:r>
      <w:proofErr w:type="spellEnd"/>
      <w:r w:rsidRPr="0013067F">
        <w:rPr>
          <w:b/>
          <w:bCs/>
        </w:rPr>
        <w:t xml:space="preserve"> gyakorlati értelmezéséhez</w:t>
      </w:r>
    </w:p>
    <w:p w:rsidR="00B86213" w:rsidRDefault="00B86213" w:rsidP="00B86213">
      <w:pPr>
        <w:rPr>
          <w:rFonts w:cs="Times New Roman"/>
          <w:b/>
          <w:bCs/>
        </w:rPr>
      </w:pPr>
    </w:p>
    <w:p w:rsidR="00B86213" w:rsidRDefault="00B86213" w:rsidP="00B86213">
      <w:pPr>
        <w:spacing w:after="120"/>
      </w:pPr>
      <w:r>
        <w:t xml:space="preserve">A </w:t>
      </w:r>
      <w:proofErr w:type="spellStart"/>
      <w:r>
        <w:t>BPE-pontszámok</w:t>
      </w:r>
      <w:proofErr w:type="spellEnd"/>
      <w:r>
        <w:t xml:space="preserve"> értelmezése több tényezőtől függ, amik páciensenként eltérőek. A kezelőorvos tapasztalatát, tudását és személyes megítélését is fel </w:t>
      </w:r>
      <w:proofErr w:type="gramStart"/>
      <w:r>
        <w:t>kell</w:t>
      </w:r>
      <w:proofErr w:type="gramEnd"/>
      <w:r>
        <w:t xml:space="preserve"> használja, amikor a kezelési terv felállítását, vagy a páciens </w:t>
      </w:r>
      <w:proofErr w:type="spellStart"/>
      <w:r>
        <w:t>parodontológiai</w:t>
      </w:r>
      <w:proofErr w:type="spellEnd"/>
      <w:r>
        <w:t xml:space="preserve"> szakrendelésre utalását végzi a </w:t>
      </w:r>
      <w:proofErr w:type="spellStart"/>
      <w:r>
        <w:t>BPE-pontszámok</w:t>
      </w:r>
      <w:proofErr w:type="spellEnd"/>
      <w:r>
        <w:t xml:space="preserve"> alapján. Az általánosan használt irányvonalak az alábbi táblázatban találhatóak.</w:t>
      </w:r>
    </w:p>
    <w:p w:rsidR="00B86213" w:rsidRDefault="00B86213" w:rsidP="00B86213"/>
    <w:p w:rsidR="00B86213" w:rsidRDefault="00B86213" w:rsidP="00B86213">
      <w:r>
        <w:t>A 3-as és 4-es értékeket adó szextánsokról párhuzamos röntgenfelvételek készítése szükséges, a csontnívók elhelyezkedésének pontosabb megítéléséhez.</w:t>
      </w:r>
    </w:p>
    <w:p w:rsidR="00B86213" w:rsidRDefault="00B86213" w:rsidP="00B86213"/>
    <w:p w:rsidR="00B86213" w:rsidRDefault="00B86213" w:rsidP="00B86213"/>
    <w:p w:rsidR="00B86213" w:rsidRDefault="00B86213" w:rsidP="00B86213">
      <w:r>
        <w:t xml:space="preserve">Készítette: Brit </w:t>
      </w:r>
      <w:proofErr w:type="spellStart"/>
      <w:r>
        <w:t>Parodontológiai</w:t>
      </w:r>
      <w:proofErr w:type="spellEnd"/>
      <w:r>
        <w:t xml:space="preserve"> Társaság, 2011.</w:t>
      </w:r>
    </w:p>
    <w:p w:rsidR="00B86213" w:rsidRDefault="00B86213" w:rsidP="00B86213">
      <w:r>
        <w:t>Fordította: Dr. Fenyő Attila, 2016.</w:t>
      </w:r>
    </w:p>
    <w:p w:rsidR="00B86213" w:rsidRPr="0055774D" w:rsidRDefault="00B86213" w:rsidP="00B86213">
      <w:pPr>
        <w:rPr>
          <w:rFonts w:cs="Times New Roman"/>
        </w:rPr>
      </w:pPr>
    </w:p>
    <w:p w:rsidR="00B25F40" w:rsidRDefault="00B86213"/>
    <w:sectPr w:rsidR="00B25F40" w:rsidSect="00346447">
      <w:pgSz w:w="11900" w:h="16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">
    <w:altName w:val="?~??eg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ew Roman">
    <w:altName w:val="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F2E"/>
    <w:multiLevelType w:val="hybridMultilevel"/>
    <w:tmpl w:val="207A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7A08"/>
    <w:multiLevelType w:val="hybridMultilevel"/>
    <w:tmpl w:val="207A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83E0D"/>
    <w:multiLevelType w:val="hybridMultilevel"/>
    <w:tmpl w:val="6A5A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13"/>
    <w:rsid w:val="00105C2B"/>
    <w:rsid w:val="00B86213"/>
    <w:rsid w:val="00C8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213"/>
    <w:pPr>
      <w:spacing w:after="0" w:line="240" w:lineRule="auto"/>
    </w:pPr>
    <w:rPr>
      <w:rFonts w:ascii="Calibri" w:eastAsia="MS Minngs" w:hAnsi="Calibri" w:cs="Calibri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86213"/>
    <w:pPr>
      <w:keepNext/>
      <w:keepLines/>
      <w:spacing w:before="240"/>
      <w:outlineLvl w:val="0"/>
    </w:pPr>
    <w:rPr>
      <w:rFonts w:ascii="Calibri Light" w:eastAsia="MS Gothi" w:hAnsi="Calibri Light" w:cs="Calibri Light"/>
      <w:color w:val="2E74B5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86213"/>
    <w:rPr>
      <w:rFonts w:ascii="Calibri Light" w:eastAsia="MS Gothi" w:hAnsi="Calibri Light" w:cs="Calibri Light"/>
      <w:color w:val="2E74B5"/>
      <w:sz w:val="32"/>
      <w:szCs w:val="32"/>
    </w:rPr>
  </w:style>
  <w:style w:type="paragraph" w:styleId="Listaszerbekezds">
    <w:name w:val="List Paragraph"/>
    <w:basedOn w:val="Norml"/>
    <w:uiPriority w:val="99"/>
    <w:qFormat/>
    <w:rsid w:val="00B862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213"/>
    <w:pPr>
      <w:spacing w:after="0" w:line="240" w:lineRule="auto"/>
    </w:pPr>
    <w:rPr>
      <w:rFonts w:ascii="Calibri" w:eastAsia="MS Minngs" w:hAnsi="Calibri" w:cs="Calibri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86213"/>
    <w:pPr>
      <w:keepNext/>
      <w:keepLines/>
      <w:spacing w:before="240"/>
      <w:outlineLvl w:val="0"/>
    </w:pPr>
    <w:rPr>
      <w:rFonts w:ascii="Calibri Light" w:eastAsia="MS Gothi" w:hAnsi="Calibri Light" w:cs="Calibri Light"/>
      <w:color w:val="2E74B5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86213"/>
    <w:rPr>
      <w:rFonts w:ascii="Calibri Light" w:eastAsia="MS Gothi" w:hAnsi="Calibri Light" w:cs="Calibri Light"/>
      <w:color w:val="2E74B5"/>
      <w:sz w:val="32"/>
      <w:szCs w:val="32"/>
    </w:rPr>
  </w:style>
  <w:style w:type="paragraph" w:styleId="Listaszerbekezds">
    <w:name w:val="List Paragraph"/>
    <w:basedOn w:val="Norml"/>
    <w:uiPriority w:val="99"/>
    <w:qFormat/>
    <w:rsid w:val="00B862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</dc:creator>
  <cp:lastModifiedBy>paro</cp:lastModifiedBy>
  <cp:revision>1</cp:revision>
  <dcterms:created xsi:type="dcterms:W3CDTF">2016-10-18T12:51:00Z</dcterms:created>
  <dcterms:modified xsi:type="dcterms:W3CDTF">2016-10-18T13:08:00Z</dcterms:modified>
</cp:coreProperties>
</file>