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710" w:rsidRPr="002F7710" w:rsidRDefault="002F7710" w:rsidP="002F7710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hu-HU"/>
        </w:rPr>
      </w:pPr>
      <w:r w:rsidRPr="002F771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hu-HU"/>
        </w:rPr>
        <w:t xml:space="preserve">A prevenció gondolatkörének történelmi fejlődése </w:t>
      </w:r>
    </w:p>
    <w:p w:rsidR="002F7710" w:rsidRPr="002F7710" w:rsidRDefault="002F7710" w:rsidP="002F7710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Frissítve: </w:t>
      </w:r>
      <w:hyperlink r:id="rId5" w:tooltip="13:43" w:history="1">
        <w:r w:rsidRPr="002F771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2018. augusz</w:t>
        </w:r>
        <w:bookmarkStart w:id="0" w:name="_GoBack"/>
        <w:bookmarkEnd w:id="0"/>
        <w:r w:rsidRPr="002F771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tus 21. kedd</w:t>
        </w:r>
      </w:hyperlink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Az egészség pozitív meghatározása elvi, filozófiai,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szemantikai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nehézségekbe ütközik. A betegséget általában értékelő, magyarázó értelemben határozzuk meg diagnózis,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prognózis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vagy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terápia céljából, az egészség viszont többnyire normatív, holisztikus gondolat. Úgy tűnik, az egészség és betegség nem szimmetrikus fogalmak, számos betegség létezik, de egészség – bizonyos értelemben – csak egy van. Ennek megfelelően a megelőzés számos módszere betegség specifikus, míg az egészségfejlesztés többnyire átfogó szemléletre épül.</w:t>
      </w:r>
    </w:p>
    <w:p w:rsidR="002F7710" w:rsidRPr="002F7710" w:rsidRDefault="002F7710" w:rsidP="00B013B1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998980" cy="2790190"/>
            <wp:effectExtent l="0" t="0" r="1270" b="0"/>
            <wp:docPr id="3" name="Kép 3" descr="http://upload.wikimedia.org/wikipedia/commons/thumb/3/32/Hippocrates_rubens.jpg/220px-Hippocrates_rub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2/Hippocrates_rubens.jpg/220px-Hippocrates_rube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10" w:rsidRPr="002F7710" w:rsidRDefault="002F7710" w:rsidP="002F7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F771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Hippokratesz</w:t>
      </w:r>
      <w:proofErr w:type="spellEnd"/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1. Az európai orvoslás hippokratészi hagyománya az egészséget, a jóllétet, illetve a betegséget olyan állapotként fogta fel, amely a környezet:(hőmérséklet, víz, talaj, élelmiszerek) és az egyéni életmód (étkezési, szexuális szokások, munka, felüdülés) jellemzőinek egyensúlyából fakad. Az ember és környezet külső egyensúlya határozza meg a szervezet belső egyensúlyát. Mai nyelvezettel szólva: a hippokratészi paradigma keretei közt a klinikai gyakorlat a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természet gyógyító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erőit segíti, a közegészségügy pedig az emberi környezet-rendszer tanulmányozása révén előre látja és ellenőrzi a közösségi, egészségügyi gondokat.</w:t>
      </w:r>
    </w:p>
    <w:p w:rsidR="002F7710" w:rsidRPr="002F7710" w:rsidRDefault="002F7710" w:rsidP="00B013B1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095500" cy="2229485"/>
            <wp:effectExtent l="0" t="0" r="0" b="0"/>
            <wp:docPr id="2" name="Kép 2" descr="http://img.tfd.com/authors/desc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tfd.com/authors/descart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10" w:rsidRPr="002F7710" w:rsidRDefault="002F7710" w:rsidP="002F7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Descartes</w:t>
      </w:r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2. Az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antik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gondolkodásmódhoz képest gyökeres változást jelentett a 16. században kibontakozott mechanisztikus vagy karteziánus paradigma. Ez a szervezetek működését mechanikus gép, például egy óra mintájára képzelte el, amely nagy pontossággal, szinte matematikai törvények szerint működik. E torvények ismerete lehetővé teszi az ember számára, hogy uralja, ellenőrizze a természetet. A modern orvostudomány alapjául szolgáló </w:t>
      </w:r>
      <w:proofErr w:type="spell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biomedikális</w:t>
      </w:r>
      <w:proofErr w:type="spell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paradigma szorosan kötődik a karteziánus világszemlélethez. Az utóbbi kétszáz évre jellemző, hogy az orvostudomány elsődlegesen az emberi testre, annak egyes részeire fordítja a figyelmet.</w:t>
      </w:r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3. A modem kutatások fényében egyre jobban érzékelhető, hogy a társadalmi-környezeti paradigmának a </w:t>
      </w:r>
      <w:proofErr w:type="spell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biomedicina</w:t>
      </w:r>
      <w:proofErr w:type="spell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uralomra jutása előtti időkbe nyúló történelmi gyökerei vannak. A korai kapitalizmus időszakában az alsóbb néposztályok szegénységét, kedvezőtlen lakás- és munkakörülményeit felelősnek tartottak rossz egészségi állapotukért, a korai halálozás magas rátájáért. Az egészséget leginkább károsító tényezőként az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elégtelen táplálkozást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, a rossz lakás- és higiénés viszonyokat, a hosszú munkanapot, a pihenés hiányát és a munka egészségkárosító hatását tartották számon. A kor tudományának elég világos képe volt e körülmények fiziológiás hatásairól is, sok szakember tudta, hogy gátolják a test fejlődését, és csökkentik a fertőző betegségekkel szembeni ellenállókészséget. A 19. század kezdetétől előbb Franciaországban, majd Németországban és Nagy-Britanniában egyre több statisztikai felmérést végeztek, amelyek alátámasztották a társadalmi-környezeti paradigma létjogosultságát.</w:t>
      </w:r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4. A 19. század közepén társadalmi reformerek, politikusok, köztisztviselők és szociálisan gondolkodó orvosok követelték, hogy az egészség váljék az egész társadalom ügyévé, s az orvostudományt társadalomtudománynak tekintették. Németországban és az Egyesült Államokban kifejlődött a medicina szociológiája. Az orvoslás feladatának tekintették a társadalmi, politikai életben va1ó részvételt is, elsősorban azért, hogy megváltoztassák azokat a gazdasági, társadalmi, környezeti feltételeket, amelyek az alsóbb néposztályok egészségét károsították. A szociálhigiénét és a szociálterápiát egyaránt magába fogla1ó társadalom-orvostan nemcsak egészségügyi, hanem társadalmi reformra is törekedett, figyelmét a betegségek megelőzésére, az egészségnevelésre is kiterjesztette.</w:t>
      </w:r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5. A legfejlettebb országokban a 19. század végére a szociális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medicina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– a </w:t>
      </w:r>
      <w:proofErr w:type="spell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biomedicina</w:t>
      </w:r>
      <w:proofErr w:type="spell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átütő sikerei következtében, de az életkörülmények javulásával is összefüggésben – egyre inkább háttérbe szorult. A bakteriológiai és virológiai ismeretek rohamos gyarapodása alapján arra a következtetésre jutottak, hogy minden megbetegedésnek önálló, sajátos kórtana van. Ámde </w:t>
      </w: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hamar érzékelhetővé váltak e szemléletmód gyengeségei is. A fertőző betegségek terjedése sem csak a kórokozókon múlik, hanem olyan tényezők is szerepet kapnak benne, mint a táplálkozás, a munka- és életkörülmények, az iskolázottság, a jövedelemszint. Kiderült, hogy a fertőzések terjedését az egyéni hajlam, a fogékonyság is befolyásolja. E felismerés elvezetett az immunológiai rezisztencia felfedezéséhez, onnan egyenes úton a </w:t>
      </w:r>
      <w:proofErr w:type="spell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betegség¬megelőzés</w:t>
      </w:r>
      <w:proofErr w:type="spell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új területéhez: a védőoltásokhoz.</w:t>
      </w:r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6. A megelőzés modern értelemben vett fejlődése a XX. század közepétől indult meg, amikor a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krónikus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nem fertőző megbetegedések váltak a megbetegedés és a halálozás meghatározó okává az európai népesség körében. Az úttörő szerepet eleinte az epidemiológia töltötte be: miután az 50-es években sikerült bizonyítani, hogy a dohányzás döntő szerepet játszik a nyelvrák kialakulásában, a következő két évtizedben a kockázati tényezők egész sorát azonosították.</w:t>
      </w:r>
    </w:p>
    <w:p w:rsidR="00B013B1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7. A múlt század hetvenes éveitől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experimentális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kutatások sora indult meg a WHO irányításával bizonyítékokon alapuló megelőzési akciók kialakítása és fejlesztése céljából az epidemiológiai eredmények gyakorlati alkalmazása érdekében. Az első közösségi szintű megelőzési programok, mint a finn Észak-Karélia, vagy a </w:t>
      </w:r>
      <w:proofErr w:type="spell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Hearthbeat</w:t>
      </w:r>
      <w:proofErr w:type="spell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Wales mind a mai napig úttörő példái a hatékony megelőzésnek.</w:t>
      </w:r>
    </w:p>
    <w:p w:rsidR="00B013B1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A kanadai La</w:t>
      </w:r>
      <w:r w:rsidR="00B013B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B013B1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onde</w:t>
      </w:r>
      <w:proofErr w:type="spell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1974-es úttörőnek számító egészségfejlesztési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koncepciója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(amelyet a szakirodalom „mezőelméletként” emleget) az egészség és jóllét alapvető tényezőiként a környezeti, egyéni biológiai, egészségmagatartási és az egészségügyi ellátórendszerre vonatkozó jellemzőket határozta meg.</w:t>
      </w:r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Geoffrey</w:t>
      </w:r>
      <w:proofErr w:type="spell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Rose (1985) prevenciós </w:t>
      </w:r>
      <w:proofErr w:type="spell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paradoxona</w:t>
      </w:r>
      <w:proofErr w:type="spell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 a populációs alapú prevenciós stratégiák – bár a résztvevő egyének szintjén hatásuk kevésbé érzékelhető – populációs szinten mégis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eredményesebbek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, mint a nagy kockázatnak kitett csoportokat célzó egyéni módszerek.</w:t>
      </w: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A megelőzés jelentőségét kiemelő nemzetközi szintű politikai lépések a WHO „Egészséget mindenkinek” (1977)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globális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stratégiájának megvalósítására irányuló kötelezettségvállalásával vették kezdetüket. Ezt követte az UNICEF/WHO nemzetközi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konferencia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az alapellátásról, Alma-Atában 1978-ban. Az itt született nyilatkozat szerint az egészség alapvető emberi jog. A lehető legjobb egészség elérése világszerte a legfontosabb társadalmi célok egyike, megvalósulása az egészségügyön kívül számos más társadalmi és gazdasági szektor közreműködését is igényli. A nyilatkozat szerint az alapellátás az egészségügy legfontosabb mechanizmusa, és a lakosság egészségi állapotának javítása nem korlátozódhat a gyógyító ellátás fejlesztésére, a megelőzés alapvető jelentőségű.</w:t>
      </w:r>
    </w:p>
    <w:p w:rsidR="002F7710" w:rsidRPr="002F7710" w:rsidRDefault="002F7710" w:rsidP="002F7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494145" cy="5733415"/>
            <wp:effectExtent l="0" t="0" r="1905" b="635"/>
            <wp:docPr id="1" name="Kép 1" descr="http://sentirpitu.files.wordpress.com/2010/07/ottawa-ch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ntirpitu.files.wordpress.com/2010/07/ottawa-char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57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Az első nemzetközi egészségfejlesztési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konferencia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által elfogadott Ottawai Karta (1986) az egészségi állapotot befolyásoló egészségmagatartási, szociális, gazdasági tényezők jelentőségének és rendszerének meghatározásával az egészségfejlesztés és a betegségmegelőzés egyik alapdokumentumává vált. A Karta az egészségfejlesztés öt cselekvési területét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definiálja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. E területek:</w:t>
      </w:r>
    </w:p>
    <w:p w:rsidR="002F7710" w:rsidRPr="002F7710" w:rsidRDefault="002F7710" w:rsidP="002F771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egészséget támogató közpolitika megalkotása</w:t>
      </w:r>
    </w:p>
    <w:p w:rsidR="002F7710" w:rsidRPr="002F7710" w:rsidRDefault="002F7710" w:rsidP="002F771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egészséget támogató környezet kialakítása;</w:t>
      </w:r>
    </w:p>
    <w:p w:rsidR="002F7710" w:rsidRPr="002F7710" w:rsidRDefault="002F7710" w:rsidP="002F771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egyéni készségek fejlesztése;</w:t>
      </w:r>
    </w:p>
    <w:p w:rsidR="002F7710" w:rsidRPr="002F7710" w:rsidRDefault="002F7710" w:rsidP="002F771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a közösségi </w:t>
      </w:r>
      <w:proofErr w:type="gram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akciók</w:t>
      </w:r>
      <w:proofErr w:type="gram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erősítése;</w:t>
      </w:r>
    </w:p>
    <w:p w:rsidR="002F7710" w:rsidRPr="002F7710" w:rsidRDefault="002F7710" w:rsidP="002F771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irányváltás az egészségügyi ellátásban.</w:t>
      </w:r>
    </w:p>
    <w:p w:rsidR="002F7710" w:rsidRPr="002F7710" w:rsidRDefault="002F7710" w:rsidP="002F771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25 évvel ezelőtt az Egészségfejlesztés Ottawai Kartája fogalmazta meg, hogy az egészség nem az egészségügyben keletkezik, és zömmel nem is ott vész el, hanem a mindennapi élet színterein, ahol az emberek tanulnak, dolgoznak, játszanak és szeretnek. Az egészséget tehát </w:t>
      </w: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alapvetően az egészségügyön kívüli tényezők határozzák meg, amelyek életmód- és környezetfüggők, de végső soron gazdasági és társadalmi feltételekből vezethetők le.</w:t>
      </w:r>
    </w:p>
    <w:p w:rsidR="002F7710" w:rsidRPr="002F7710" w:rsidRDefault="002F7710" w:rsidP="002F7710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>Makara</w:t>
      </w:r>
      <w:proofErr w:type="spellEnd"/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t xml:space="preserve"> Péter</w:t>
      </w:r>
      <w:r w:rsidRPr="002F7710">
        <w:rPr>
          <w:rFonts w:ascii="Times New Roman" w:eastAsia="Times New Roman" w:hAnsi="Times New Roman"/>
          <w:sz w:val="24"/>
          <w:szCs w:val="24"/>
          <w:lang w:eastAsia="hu-HU"/>
        </w:rPr>
        <w:br/>
        <w:t>ÁOK Népegészségtani Intézet</w:t>
      </w:r>
    </w:p>
    <w:sectPr w:rsidR="002F7710" w:rsidRPr="002F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6885"/>
    <w:multiLevelType w:val="multilevel"/>
    <w:tmpl w:val="E2C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10"/>
    <w:rsid w:val="002F7710"/>
    <w:rsid w:val="0069643F"/>
    <w:rsid w:val="00932956"/>
    <w:rsid w:val="00B013B1"/>
    <w:rsid w:val="00C0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DE35"/>
  <w15:chartTrackingRefBased/>
  <w15:docId w15:val="{DE063907-E07C-4DB7-8F6E-406F4774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682E"/>
  </w:style>
  <w:style w:type="paragraph" w:styleId="Cmsor1">
    <w:name w:val="heading 1"/>
    <w:basedOn w:val="Norml"/>
    <w:link w:val="Cmsor1Char"/>
    <w:uiPriority w:val="9"/>
    <w:qFormat/>
    <w:rsid w:val="002F771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F7710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meta-prep">
    <w:name w:val="meta-prep"/>
    <w:basedOn w:val="Bekezdsalapbettpusa"/>
    <w:rsid w:val="002F7710"/>
  </w:style>
  <w:style w:type="character" w:customStyle="1" w:styleId="entry-date">
    <w:name w:val="entry-date"/>
    <w:basedOn w:val="Bekezdsalapbettpusa"/>
    <w:rsid w:val="002F7710"/>
  </w:style>
  <w:style w:type="paragraph" w:styleId="NormlWeb">
    <w:name w:val="Normal (Web)"/>
    <w:basedOn w:val="Norml"/>
    <w:uiPriority w:val="99"/>
    <w:semiHidden/>
    <w:unhideWhenUsed/>
    <w:rsid w:val="002F77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2alabel">
    <w:name w:val="a2a_label"/>
    <w:basedOn w:val="Bekezdsalapbettpusa"/>
    <w:rsid w:val="002F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mmelweis.hu/medicinatortenet/a-prevencio-kulturtortenete/a-prevencio-gondolatkorenek-tortenelmi-fejlode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3</cp:revision>
  <dcterms:created xsi:type="dcterms:W3CDTF">2020-04-02T10:25:00Z</dcterms:created>
  <dcterms:modified xsi:type="dcterms:W3CDTF">2021-10-23T09:43:00Z</dcterms:modified>
</cp:coreProperties>
</file>