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28" w:rsidRPr="00492EC8" w:rsidRDefault="00853428">
      <w:pPr>
        <w:pStyle w:val="Cm"/>
        <w:rPr>
          <w:b w:val="0"/>
          <w:sz w:val="22"/>
          <w:szCs w:val="22"/>
        </w:rPr>
      </w:pPr>
    </w:p>
    <w:p w:rsidR="005D14BE" w:rsidRDefault="005D14BE" w:rsidP="005D14BE">
      <w:pPr>
        <w:pStyle w:val="Cm"/>
        <w:rPr>
          <w:bCs/>
          <w:sz w:val="22"/>
          <w:szCs w:val="22"/>
          <w:lang w:val="en-US"/>
        </w:rPr>
      </w:pPr>
      <w:r w:rsidRPr="00ED0B6E">
        <w:rPr>
          <w:bCs/>
          <w:sz w:val="22"/>
          <w:szCs w:val="22"/>
          <w:lang w:val="en-US"/>
        </w:rPr>
        <w:t xml:space="preserve">Amending Decision No. 13/2022 of the Director of the Colleges on the </w:t>
      </w:r>
      <w:r w:rsidR="00DD5434">
        <w:rPr>
          <w:bCs/>
          <w:sz w:val="22"/>
          <w:szCs w:val="22"/>
          <w:lang w:val="en-US"/>
        </w:rPr>
        <w:t>accommodation rates</w:t>
      </w:r>
      <w:r w:rsidRPr="00ED0B6E">
        <w:rPr>
          <w:bCs/>
          <w:sz w:val="22"/>
          <w:szCs w:val="22"/>
          <w:lang w:val="en-US"/>
        </w:rPr>
        <w:t xml:space="preserve"> applicable in the </w:t>
      </w:r>
      <w:proofErr w:type="spellStart"/>
      <w:r w:rsidRPr="00ED0B6E">
        <w:rPr>
          <w:bCs/>
          <w:sz w:val="22"/>
          <w:szCs w:val="22"/>
          <w:lang w:val="en-US"/>
        </w:rPr>
        <w:t>Selye</w:t>
      </w:r>
      <w:proofErr w:type="spellEnd"/>
      <w:r w:rsidRPr="00ED0B6E">
        <w:rPr>
          <w:bCs/>
          <w:sz w:val="22"/>
          <w:szCs w:val="22"/>
          <w:lang w:val="en-US"/>
        </w:rPr>
        <w:t xml:space="preserve"> </w:t>
      </w:r>
      <w:proofErr w:type="spellStart"/>
      <w:r w:rsidRPr="00ED0B6E">
        <w:rPr>
          <w:bCs/>
          <w:sz w:val="22"/>
          <w:szCs w:val="22"/>
          <w:lang w:val="en-US"/>
        </w:rPr>
        <w:t>János</w:t>
      </w:r>
      <w:proofErr w:type="spellEnd"/>
      <w:r w:rsidRPr="00ED0B6E">
        <w:rPr>
          <w:bCs/>
          <w:sz w:val="22"/>
          <w:szCs w:val="22"/>
          <w:lang w:val="en-US"/>
        </w:rPr>
        <w:t xml:space="preserve"> Doctoral College for Advanced Studies for the term</w:t>
      </w:r>
      <w:r w:rsidR="00CF5BCD">
        <w:rPr>
          <w:bCs/>
          <w:sz w:val="22"/>
          <w:szCs w:val="22"/>
          <w:lang w:val="en-US"/>
        </w:rPr>
        <w:t xml:space="preserve"> from </w:t>
      </w:r>
      <w:r w:rsidR="00E55066">
        <w:rPr>
          <w:bCs/>
          <w:sz w:val="22"/>
          <w:szCs w:val="22"/>
          <w:lang w:val="en-US"/>
        </w:rPr>
        <w:t>1</w:t>
      </w:r>
      <w:r w:rsidR="00E55066" w:rsidRPr="00CF5BCD">
        <w:rPr>
          <w:bCs/>
          <w:sz w:val="22"/>
          <w:szCs w:val="22"/>
          <w:vertAlign w:val="superscript"/>
          <w:lang w:val="en-US"/>
        </w:rPr>
        <w:t>st</w:t>
      </w:r>
      <w:r w:rsidR="00CF5BCD">
        <w:rPr>
          <w:bCs/>
          <w:sz w:val="22"/>
          <w:szCs w:val="22"/>
          <w:lang w:val="en-US"/>
        </w:rPr>
        <w:t xml:space="preserve"> September</w:t>
      </w:r>
      <w:r w:rsidRPr="00ED0B6E">
        <w:rPr>
          <w:bCs/>
          <w:sz w:val="22"/>
          <w:szCs w:val="22"/>
          <w:lang w:val="en-US"/>
        </w:rPr>
        <w:t xml:space="preserve"> 2022 to </w:t>
      </w:r>
      <w:r w:rsidR="00CF5BCD">
        <w:rPr>
          <w:bCs/>
          <w:sz w:val="22"/>
          <w:szCs w:val="22"/>
          <w:lang w:val="en-US"/>
        </w:rPr>
        <w:t>31</w:t>
      </w:r>
      <w:r w:rsidR="00CF5BCD" w:rsidRPr="00CF5BCD">
        <w:rPr>
          <w:bCs/>
          <w:sz w:val="22"/>
          <w:szCs w:val="22"/>
          <w:vertAlign w:val="superscript"/>
          <w:lang w:val="en-US"/>
        </w:rPr>
        <w:t>st</w:t>
      </w:r>
      <w:r w:rsidR="00CF5BCD">
        <w:rPr>
          <w:bCs/>
          <w:sz w:val="22"/>
          <w:szCs w:val="22"/>
          <w:lang w:val="en-US"/>
        </w:rPr>
        <w:t xml:space="preserve"> </w:t>
      </w:r>
      <w:r w:rsidRPr="00ED0B6E">
        <w:rPr>
          <w:bCs/>
          <w:sz w:val="22"/>
          <w:szCs w:val="22"/>
          <w:lang w:val="en-US"/>
        </w:rPr>
        <w:t>August 2023</w:t>
      </w:r>
    </w:p>
    <w:p w:rsidR="002A34CE" w:rsidRPr="00492EC8" w:rsidRDefault="002A34CE" w:rsidP="009D43B5">
      <w:pPr>
        <w:rPr>
          <w:sz w:val="22"/>
          <w:szCs w:val="22"/>
        </w:rPr>
      </w:pPr>
    </w:p>
    <w:p w:rsidR="00B36D0A" w:rsidRDefault="00B36D0A" w:rsidP="004423B3">
      <w:pPr>
        <w:pStyle w:val="Szvegtrzs"/>
        <w:jc w:val="both"/>
        <w:rPr>
          <w:b w:val="0"/>
          <w:sz w:val="22"/>
          <w:szCs w:val="22"/>
        </w:rPr>
      </w:pPr>
    </w:p>
    <w:p w:rsidR="005D14BE" w:rsidRDefault="005D14BE" w:rsidP="005D14BE">
      <w:pPr>
        <w:pStyle w:val="Szvegtrzs"/>
        <w:jc w:val="both"/>
        <w:rPr>
          <w:b w:val="0"/>
          <w:sz w:val="22"/>
          <w:szCs w:val="22"/>
          <w:lang w:val="en-US"/>
        </w:rPr>
      </w:pPr>
      <w:r>
        <w:rPr>
          <w:b w:val="0"/>
          <w:sz w:val="22"/>
          <w:szCs w:val="22"/>
          <w:lang w:val="en-US"/>
        </w:rPr>
        <w:t>To achieve the objectives of the College, the Board of Directors of the Colleges offers a significant discount (</w:t>
      </w:r>
      <w:r>
        <w:rPr>
          <w:bCs/>
          <w:sz w:val="22"/>
          <w:szCs w:val="22"/>
          <w:lang w:val="en-US"/>
        </w:rPr>
        <w:t>75%</w:t>
      </w:r>
      <w:r>
        <w:rPr>
          <w:b w:val="0"/>
          <w:sz w:val="22"/>
          <w:szCs w:val="22"/>
          <w:lang w:val="en-US"/>
        </w:rPr>
        <w:t xml:space="preserve"> and </w:t>
      </w:r>
      <w:r>
        <w:rPr>
          <w:bCs/>
          <w:sz w:val="22"/>
          <w:szCs w:val="22"/>
          <w:lang w:val="en-US"/>
        </w:rPr>
        <w:t>60%</w:t>
      </w:r>
      <w:r>
        <w:rPr>
          <w:b w:val="0"/>
          <w:sz w:val="22"/>
          <w:szCs w:val="22"/>
          <w:lang w:val="en-US"/>
        </w:rPr>
        <w:t xml:space="preserve">) on the accommodation </w:t>
      </w:r>
      <w:r w:rsidR="00DD5434">
        <w:rPr>
          <w:b w:val="0"/>
          <w:sz w:val="22"/>
          <w:szCs w:val="22"/>
          <w:lang w:val="en-US"/>
        </w:rPr>
        <w:t>rates</w:t>
      </w:r>
      <w:r>
        <w:rPr>
          <w:b w:val="0"/>
          <w:sz w:val="22"/>
          <w:szCs w:val="22"/>
          <w:lang w:val="en-US"/>
        </w:rPr>
        <w:t xml:space="preserve"> of students. Taking this discount into account, the following </w:t>
      </w:r>
      <w:r w:rsidR="00DD5434">
        <w:rPr>
          <w:b w:val="0"/>
          <w:sz w:val="22"/>
          <w:szCs w:val="22"/>
          <w:lang w:val="en-US"/>
        </w:rPr>
        <w:t>rates</w:t>
      </w:r>
      <w:r>
        <w:rPr>
          <w:b w:val="0"/>
          <w:sz w:val="22"/>
          <w:szCs w:val="22"/>
          <w:lang w:val="en-US"/>
        </w:rPr>
        <w:t xml:space="preserve"> are applicable for the accommodation of students in a legal relationship with Semmelweis University: </w:t>
      </w:r>
    </w:p>
    <w:p w:rsidR="005D14BE" w:rsidRDefault="005D14BE" w:rsidP="005D14BE">
      <w:pPr>
        <w:pStyle w:val="Szvegtrzs"/>
        <w:jc w:val="both"/>
        <w:rPr>
          <w:b w:val="0"/>
          <w:sz w:val="22"/>
          <w:szCs w:val="22"/>
          <w:lang w:val="en-US"/>
        </w:rPr>
      </w:pPr>
    </w:p>
    <w:tbl>
      <w:tblPr>
        <w:tblStyle w:val="Rcsostblzat"/>
        <w:tblW w:w="0" w:type="auto"/>
        <w:tblLook w:val="04A0" w:firstRow="1" w:lastRow="0" w:firstColumn="1" w:lastColumn="0" w:noHBand="0" w:noVBand="1"/>
      </w:tblPr>
      <w:tblGrid>
        <w:gridCol w:w="3020"/>
        <w:gridCol w:w="3021"/>
        <w:gridCol w:w="3021"/>
      </w:tblGrid>
      <w:tr w:rsidR="005D14BE" w:rsidTr="00663DE8">
        <w:tc>
          <w:tcPr>
            <w:tcW w:w="3020" w:type="dxa"/>
          </w:tcPr>
          <w:p w:rsidR="005D14BE" w:rsidRPr="007834A8" w:rsidRDefault="005D14BE" w:rsidP="00663DE8">
            <w:pPr>
              <w:pStyle w:val="Szvegtrzs"/>
              <w:rPr>
                <w:b w:val="0"/>
                <w:sz w:val="22"/>
                <w:szCs w:val="22"/>
              </w:rPr>
            </w:pPr>
          </w:p>
        </w:tc>
        <w:tc>
          <w:tcPr>
            <w:tcW w:w="3021" w:type="dxa"/>
          </w:tcPr>
          <w:p w:rsidR="005D14BE" w:rsidRPr="007834A8" w:rsidRDefault="005D14BE" w:rsidP="00663DE8">
            <w:pPr>
              <w:pStyle w:val="Szvegtrzs"/>
              <w:rPr>
                <w:b w:val="0"/>
                <w:sz w:val="22"/>
                <w:szCs w:val="22"/>
              </w:rPr>
            </w:pPr>
            <w:r>
              <w:rPr>
                <w:b w:val="0"/>
                <w:sz w:val="22"/>
                <w:szCs w:val="22"/>
                <w:lang w:val="en-US"/>
              </w:rPr>
              <w:t>1 person</w:t>
            </w:r>
          </w:p>
        </w:tc>
        <w:tc>
          <w:tcPr>
            <w:tcW w:w="3021" w:type="dxa"/>
          </w:tcPr>
          <w:p w:rsidR="005D14BE" w:rsidRPr="007834A8" w:rsidRDefault="00DD5434" w:rsidP="00663DE8">
            <w:pPr>
              <w:pStyle w:val="Szvegtrzs"/>
              <w:rPr>
                <w:b w:val="0"/>
                <w:sz w:val="22"/>
                <w:szCs w:val="22"/>
              </w:rPr>
            </w:pPr>
            <w:r>
              <w:rPr>
                <w:b w:val="0"/>
                <w:sz w:val="22"/>
                <w:szCs w:val="22"/>
                <w:lang w:val="en-US"/>
              </w:rPr>
              <w:t>2</w:t>
            </w:r>
            <w:r w:rsidR="005D14BE">
              <w:rPr>
                <w:b w:val="0"/>
                <w:sz w:val="22"/>
                <w:szCs w:val="22"/>
                <w:lang w:val="en-US"/>
              </w:rPr>
              <w:t xml:space="preserve"> person</w:t>
            </w:r>
            <w:r>
              <w:rPr>
                <w:b w:val="0"/>
                <w:sz w:val="22"/>
                <w:szCs w:val="22"/>
                <w:lang w:val="en-US"/>
              </w:rPr>
              <w:t>s</w:t>
            </w:r>
          </w:p>
        </w:tc>
      </w:tr>
      <w:tr w:rsidR="005D14BE" w:rsidTr="00663DE8">
        <w:tc>
          <w:tcPr>
            <w:tcW w:w="3020" w:type="dxa"/>
          </w:tcPr>
          <w:p w:rsidR="005D14BE" w:rsidRPr="007834A8" w:rsidRDefault="005D14BE" w:rsidP="00663DE8">
            <w:pPr>
              <w:pStyle w:val="Szvegtrzs"/>
              <w:jc w:val="both"/>
              <w:rPr>
                <w:b w:val="0"/>
                <w:sz w:val="22"/>
                <w:szCs w:val="22"/>
              </w:rPr>
            </w:pPr>
            <w:r>
              <w:rPr>
                <w:b w:val="0"/>
                <w:sz w:val="22"/>
                <w:szCs w:val="22"/>
                <w:lang w:val="en-US"/>
              </w:rPr>
              <w:t>single bedroom</w:t>
            </w:r>
          </w:p>
        </w:tc>
        <w:tc>
          <w:tcPr>
            <w:tcW w:w="3021" w:type="dxa"/>
          </w:tcPr>
          <w:p w:rsidR="005D14BE" w:rsidRPr="007834A8" w:rsidRDefault="005D14BE" w:rsidP="00663DE8">
            <w:pPr>
              <w:pStyle w:val="Szvegtrzs"/>
              <w:rPr>
                <w:b w:val="0"/>
                <w:sz w:val="22"/>
                <w:szCs w:val="22"/>
              </w:rPr>
            </w:pPr>
            <w:r>
              <w:rPr>
                <w:b w:val="0"/>
                <w:sz w:val="22"/>
                <w:szCs w:val="22"/>
                <w:lang w:val="en-US"/>
              </w:rPr>
              <w:t>HUF 30 000/month</w:t>
            </w:r>
          </w:p>
        </w:tc>
        <w:tc>
          <w:tcPr>
            <w:tcW w:w="3021" w:type="dxa"/>
          </w:tcPr>
          <w:p w:rsidR="005D14BE" w:rsidRPr="007834A8" w:rsidRDefault="005D14BE" w:rsidP="00663DE8">
            <w:pPr>
              <w:pStyle w:val="Szvegtrzs"/>
              <w:rPr>
                <w:b w:val="0"/>
                <w:sz w:val="22"/>
                <w:szCs w:val="22"/>
              </w:rPr>
            </w:pPr>
            <w:r>
              <w:rPr>
                <w:b w:val="0"/>
                <w:sz w:val="22"/>
                <w:szCs w:val="22"/>
              </w:rPr>
              <w:t>-</w:t>
            </w:r>
          </w:p>
        </w:tc>
      </w:tr>
      <w:tr w:rsidR="005D14BE" w:rsidTr="00663DE8">
        <w:tc>
          <w:tcPr>
            <w:tcW w:w="3020" w:type="dxa"/>
          </w:tcPr>
          <w:p w:rsidR="005D14BE" w:rsidRPr="007834A8" w:rsidRDefault="005D14BE" w:rsidP="00663DE8">
            <w:pPr>
              <w:pStyle w:val="Szvegtrzs"/>
              <w:jc w:val="both"/>
              <w:rPr>
                <w:b w:val="0"/>
                <w:sz w:val="22"/>
                <w:szCs w:val="22"/>
              </w:rPr>
            </w:pPr>
            <w:r>
              <w:rPr>
                <w:b w:val="0"/>
                <w:sz w:val="22"/>
                <w:szCs w:val="22"/>
                <w:lang w:val="en-US"/>
              </w:rPr>
              <w:t>double bedroom</w:t>
            </w:r>
          </w:p>
        </w:tc>
        <w:tc>
          <w:tcPr>
            <w:tcW w:w="3021" w:type="dxa"/>
          </w:tcPr>
          <w:p w:rsidR="005D14BE" w:rsidRPr="007834A8" w:rsidRDefault="005D14BE" w:rsidP="00663DE8">
            <w:pPr>
              <w:pStyle w:val="Szvegtrzs"/>
              <w:rPr>
                <w:b w:val="0"/>
                <w:sz w:val="22"/>
                <w:szCs w:val="22"/>
              </w:rPr>
            </w:pPr>
            <w:r>
              <w:rPr>
                <w:b w:val="0"/>
                <w:sz w:val="22"/>
                <w:szCs w:val="22"/>
                <w:lang w:val="en-US"/>
              </w:rPr>
              <w:t>HUF 30 000/month</w:t>
            </w:r>
          </w:p>
        </w:tc>
        <w:tc>
          <w:tcPr>
            <w:tcW w:w="3021" w:type="dxa"/>
          </w:tcPr>
          <w:p w:rsidR="005D14BE" w:rsidRPr="007834A8" w:rsidRDefault="005D14BE" w:rsidP="00663DE8">
            <w:pPr>
              <w:pStyle w:val="Szvegtrzs"/>
              <w:rPr>
                <w:b w:val="0"/>
                <w:sz w:val="22"/>
                <w:szCs w:val="22"/>
              </w:rPr>
            </w:pPr>
            <w:r>
              <w:rPr>
                <w:b w:val="0"/>
                <w:sz w:val="22"/>
                <w:szCs w:val="22"/>
                <w:lang w:val="en-US"/>
              </w:rPr>
              <w:t>HUF 25 000/month</w:t>
            </w:r>
          </w:p>
        </w:tc>
      </w:tr>
    </w:tbl>
    <w:p w:rsidR="005D14BE" w:rsidRDefault="005D14BE" w:rsidP="005D14BE">
      <w:pPr>
        <w:pStyle w:val="Szvegtrzs"/>
        <w:jc w:val="both"/>
        <w:rPr>
          <w:b w:val="0"/>
          <w:sz w:val="22"/>
          <w:szCs w:val="22"/>
        </w:rPr>
      </w:pPr>
    </w:p>
    <w:p w:rsidR="005D14BE" w:rsidRDefault="005D14BE" w:rsidP="005D14BE">
      <w:pPr>
        <w:pStyle w:val="Szvegtrzs"/>
        <w:jc w:val="both"/>
        <w:rPr>
          <w:b w:val="0"/>
          <w:sz w:val="22"/>
          <w:szCs w:val="22"/>
        </w:rPr>
      </w:pPr>
      <w:r>
        <w:rPr>
          <w:b w:val="0"/>
          <w:sz w:val="22"/>
          <w:szCs w:val="22"/>
          <w:lang w:val="en-US"/>
        </w:rPr>
        <w:t xml:space="preserve">A doctoral student who has a legal relationship with another higher education institution may be placed by contractual agreement between the institutions, provided that the institution pays for the accommodation of the doctoral student.  In the absence of such a contract, accommodation may be provided on the basis of the Director's decision of 5/2022 on guest accommodation. </w:t>
      </w:r>
    </w:p>
    <w:p w:rsidR="00B94437" w:rsidRDefault="00B94437" w:rsidP="004423B3">
      <w:pPr>
        <w:pStyle w:val="Szvegtrzs"/>
        <w:jc w:val="both"/>
        <w:rPr>
          <w:b w:val="0"/>
          <w:sz w:val="22"/>
          <w:szCs w:val="22"/>
        </w:rPr>
      </w:pPr>
    </w:p>
    <w:p w:rsidR="005D14BE" w:rsidRPr="00BC3924" w:rsidRDefault="005D14BE" w:rsidP="008E74EB">
      <w:pPr>
        <w:pStyle w:val="Szvegtrzs"/>
        <w:jc w:val="both"/>
        <w:rPr>
          <w:sz w:val="22"/>
          <w:szCs w:val="22"/>
        </w:rPr>
      </w:pPr>
      <w:r>
        <w:rPr>
          <w:b w:val="0"/>
          <w:sz w:val="22"/>
          <w:szCs w:val="22"/>
          <w:lang w:val="en-US"/>
        </w:rPr>
        <w:t>When allocating accommodation, the available residential rooms should be filled to accommodate two students per double room if possible</w:t>
      </w:r>
      <w:r w:rsidR="008E74EB">
        <w:rPr>
          <w:b w:val="0"/>
          <w:sz w:val="22"/>
          <w:szCs w:val="22"/>
          <w:lang w:val="en-US"/>
        </w:rPr>
        <w:t xml:space="preserve">. </w:t>
      </w:r>
      <w:r w:rsidR="008E74EB" w:rsidRPr="008E74EB">
        <w:rPr>
          <w:b w:val="0"/>
          <w:sz w:val="22"/>
          <w:szCs w:val="22"/>
          <w:lang w:val="en-US"/>
        </w:rPr>
        <w:t>If two double rooms are occupied by one</w:t>
      </w:r>
      <w:r w:rsidR="008E74EB">
        <w:rPr>
          <w:b w:val="0"/>
          <w:sz w:val="22"/>
          <w:szCs w:val="22"/>
          <w:lang w:val="en-US"/>
        </w:rPr>
        <w:t xml:space="preserve"> </w:t>
      </w:r>
      <w:r w:rsidR="008E74EB" w:rsidRPr="008E74EB">
        <w:rPr>
          <w:b w:val="0"/>
          <w:sz w:val="22"/>
          <w:szCs w:val="22"/>
          <w:lang w:val="en-US"/>
        </w:rPr>
        <w:t xml:space="preserve">student per room and they are of the same sex, the two students must be moved </w:t>
      </w:r>
      <w:r w:rsidR="00F2545B">
        <w:rPr>
          <w:b w:val="0"/>
          <w:sz w:val="22"/>
          <w:szCs w:val="22"/>
          <w:lang w:val="en-US"/>
        </w:rPr>
        <w:t>into</w:t>
      </w:r>
      <w:r w:rsidR="008E74EB" w:rsidRPr="008E74EB">
        <w:rPr>
          <w:b w:val="0"/>
          <w:sz w:val="22"/>
          <w:szCs w:val="22"/>
          <w:lang w:val="en-US"/>
        </w:rPr>
        <w:t xml:space="preserve"> one room.</w:t>
      </w:r>
      <w:r>
        <w:rPr>
          <w:b w:val="0"/>
          <w:sz w:val="22"/>
          <w:szCs w:val="22"/>
          <w:lang w:val="en-US"/>
        </w:rPr>
        <w:t xml:space="preserve">  </w:t>
      </w:r>
      <w:r w:rsidRPr="00BC3924">
        <w:rPr>
          <w:sz w:val="22"/>
          <w:szCs w:val="22"/>
          <w:lang w:val="en-US"/>
        </w:rPr>
        <w:t xml:space="preserve">If the student refuses to do so, he/she will be charged the </w:t>
      </w:r>
      <w:r w:rsidR="00DD5434">
        <w:rPr>
          <w:sz w:val="22"/>
          <w:szCs w:val="22"/>
          <w:lang w:val="en-US"/>
        </w:rPr>
        <w:t>rate</w:t>
      </w:r>
      <w:r w:rsidRPr="00BC3924">
        <w:rPr>
          <w:sz w:val="22"/>
          <w:szCs w:val="22"/>
          <w:lang w:val="en-US"/>
        </w:rPr>
        <w:t xml:space="preserve"> for the vacant </w:t>
      </w:r>
      <w:r>
        <w:rPr>
          <w:sz w:val="22"/>
          <w:szCs w:val="22"/>
          <w:lang w:val="en-US"/>
        </w:rPr>
        <w:t xml:space="preserve">place without </w:t>
      </w:r>
      <w:r w:rsidR="00F2545B">
        <w:rPr>
          <w:sz w:val="22"/>
          <w:szCs w:val="22"/>
          <w:lang w:val="en-US"/>
        </w:rPr>
        <w:t xml:space="preserve">a </w:t>
      </w:r>
      <w:r>
        <w:rPr>
          <w:sz w:val="22"/>
          <w:szCs w:val="22"/>
          <w:lang w:val="en-US"/>
        </w:rPr>
        <w:t xml:space="preserve">discount </w:t>
      </w:r>
      <w:r w:rsidR="00F2545B">
        <w:rPr>
          <w:sz w:val="22"/>
          <w:szCs w:val="22"/>
          <w:lang w:val="en-US"/>
        </w:rPr>
        <w:t>–</w:t>
      </w:r>
      <w:r>
        <w:rPr>
          <w:sz w:val="22"/>
          <w:szCs w:val="22"/>
          <w:lang w:val="en-US"/>
        </w:rPr>
        <w:t xml:space="preserve"> HUF 60 </w:t>
      </w:r>
      <w:r w:rsidRPr="00BC3924">
        <w:rPr>
          <w:sz w:val="22"/>
          <w:szCs w:val="22"/>
          <w:lang w:val="en-US"/>
        </w:rPr>
        <w:t>000/month.</w:t>
      </w:r>
    </w:p>
    <w:p w:rsidR="00B4033C" w:rsidRPr="00B4033C" w:rsidRDefault="00B4033C" w:rsidP="00B4033C">
      <w:pPr>
        <w:pStyle w:val="Szvegtrzs"/>
        <w:jc w:val="both"/>
        <w:rPr>
          <w:sz w:val="22"/>
          <w:szCs w:val="22"/>
        </w:rPr>
      </w:pPr>
    </w:p>
    <w:p w:rsidR="005D14BE" w:rsidRDefault="005D14BE" w:rsidP="005D14BE">
      <w:pPr>
        <w:pStyle w:val="Szvegtrzs"/>
        <w:jc w:val="both"/>
        <w:rPr>
          <w:b w:val="0"/>
          <w:sz w:val="22"/>
          <w:szCs w:val="22"/>
        </w:rPr>
      </w:pPr>
      <w:r>
        <w:rPr>
          <w:b w:val="0"/>
          <w:sz w:val="22"/>
          <w:szCs w:val="22"/>
          <w:lang w:val="en-US"/>
        </w:rPr>
        <w:t xml:space="preserve">The discounted accommodation is granted with a significant university contribution, so the student is obliged to use the accommodation as his/her place of residence.  If this should not be realized, the current guest rate for accommodation will be applicable. </w:t>
      </w:r>
    </w:p>
    <w:p w:rsidR="007834A8" w:rsidRDefault="007834A8" w:rsidP="004423B3">
      <w:pPr>
        <w:pStyle w:val="Szvegtrzs"/>
        <w:jc w:val="both"/>
        <w:rPr>
          <w:b w:val="0"/>
          <w:sz w:val="22"/>
          <w:szCs w:val="22"/>
        </w:rPr>
      </w:pPr>
    </w:p>
    <w:p w:rsidR="005D14BE" w:rsidRPr="00BC3924" w:rsidRDefault="005D14BE" w:rsidP="005D14BE">
      <w:pPr>
        <w:pStyle w:val="Szvegtrzs"/>
        <w:jc w:val="both"/>
        <w:rPr>
          <w:b w:val="0"/>
          <w:sz w:val="22"/>
          <w:szCs w:val="22"/>
        </w:rPr>
      </w:pPr>
      <w:r>
        <w:rPr>
          <w:b w:val="0"/>
          <w:sz w:val="22"/>
          <w:szCs w:val="22"/>
          <w:lang w:val="en-US"/>
        </w:rPr>
        <w:t xml:space="preserve">The standard </w:t>
      </w:r>
      <w:r w:rsidR="00DD5434">
        <w:rPr>
          <w:b w:val="0"/>
          <w:sz w:val="22"/>
          <w:szCs w:val="22"/>
          <w:lang w:val="en-US"/>
        </w:rPr>
        <w:t>rate</w:t>
      </w:r>
      <w:r>
        <w:rPr>
          <w:b w:val="0"/>
          <w:sz w:val="22"/>
          <w:szCs w:val="22"/>
          <w:lang w:val="en-US"/>
        </w:rPr>
        <w:t xml:space="preserve"> for the accommodation of a guest hosted by a doctoral student is </w:t>
      </w:r>
      <w:bookmarkStart w:id="0" w:name="_GoBack"/>
      <w:bookmarkEnd w:id="0"/>
      <w:r>
        <w:rPr>
          <w:bCs/>
          <w:sz w:val="22"/>
          <w:szCs w:val="22"/>
          <w:lang w:val="en-US"/>
        </w:rPr>
        <w:t>HUF 1500 /person/night.</w:t>
      </w:r>
      <w:r w:rsidRPr="00BC3924">
        <w:rPr>
          <w:b w:val="0"/>
          <w:bCs/>
          <w:sz w:val="22"/>
          <w:szCs w:val="22"/>
          <w:lang w:val="en-US"/>
        </w:rPr>
        <w:t xml:space="preserve"> Long-term guests (for longer than a 3-day-stay) may only be accommodated in the designated guest room and only after </w:t>
      </w:r>
      <w:r w:rsidR="00F2545B">
        <w:rPr>
          <w:b w:val="0"/>
          <w:bCs/>
          <w:sz w:val="22"/>
          <w:szCs w:val="22"/>
          <w:lang w:val="en-US"/>
        </w:rPr>
        <w:t xml:space="preserve">a </w:t>
      </w:r>
      <w:r w:rsidRPr="00BC3924">
        <w:rPr>
          <w:b w:val="0"/>
          <w:bCs/>
          <w:sz w:val="22"/>
          <w:szCs w:val="22"/>
          <w:lang w:val="en-US"/>
        </w:rPr>
        <w:t xml:space="preserve">prior reservation. </w:t>
      </w:r>
    </w:p>
    <w:p w:rsidR="005D14BE" w:rsidRDefault="005D14BE" w:rsidP="005D14BE">
      <w:pPr>
        <w:pStyle w:val="Szvegtrzs"/>
        <w:jc w:val="both"/>
        <w:rPr>
          <w:b w:val="0"/>
          <w:sz w:val="22"/>
          <w:szCs w:val="22"/>
        </w:rPr>
      </w:pPr>
    </w:p>
    <w:p w:rsidR="005D14BE" w:rsidRDefault="005D14BE" w:rsidP="005D14BE">
      <w:pPr>
        <w:pStyle w:val="Szvegtrzs"/>
        <w:jc w:val="both"/>
        <w:rPr>
          <w:b w:val="0"/>
          <w:sz w:val="22"/>
          <w:szCs w:val="22"/>
        </w:rPr>
      </w:pPr>
      <w:r>
        <w:rPr>
          <w:b w:val="0"/>
          <w:sz w:val="22"/>
          <w:szCs w:val="22"/>
          <w:lang w:val="en-US"/>
        </w:rPr>
        <w:t xml:space="preserve">This </w:t>
      </w:r>
      <w:r>
        <w:rPr>
          <w:b w:val="0"/>
          <w:sz w:val="22"/>
          <w:szCs w:val="22"/>
          <w:u w:val="single"/>
          <w:lang w:val="en-US"/>
        </w:rPr>
        <w:t>amending</w:t>
      </w:r>
      <w:r>
        <w:rPr>
          <w:b w:val="0"/>
          <w:sz w:val="22"/>
          <w:szCs w:val="22"/>
          <w:lang w:val="en-US"/>
        </w:rPr>
        <w:t xml:space="preserve"> decision revokes Director's Decision No. 10/2022 issued on the 15th of July 2022. </w:t>
      </w:r>
    </w:p>
    <w:p w:rsidR="005D14BE" w:rsidRDefault="005D14BE" w:rsidP="005D14BE">
      <w:pPr>
        <w:pStyle w:val="Szvegtrzs"/>
        <w:jc w:val="both"/>
        <w:rPr>
          <w:b w:val="0"/>
          <w:sz w:val="22"/>
          <w:szCs w:val="22"/>
        </w:rPr>
      </w:pPr>
    </w:p>
    <w:p w:rsidR="005D14BE" w:rsidRPr="00B94437" w:rsidRDefault="005D14BE" w:rsidP="005D14BE">
      <w:pPr>
        <w:pStyle w:val="Szvegtrzs"/>
        <w:jc w:val="both"/>
        <w:rPr>
          <w:b w:val="0"/>
          <w:sz w:val="22"/>
          <w:szCs w:val="22"/>
        </w:rPr>
      </w:pPr>
      <w:r>
        <w:rPr>
          <w:b w:val="0"/>
          <w:sz w:val="22"/>
          <w:szCs w:val="22"/>
          <w:lang w:val="en-US"/>
        </w:rPr>
        <w:t xml:space="preserve">The </w:t>
      </w:r>
      <w:r w:rsidR="00DD5434">
        <w:rPr>
          <w:b w:val="0"/>
          <w:sz w:val="22"/>
          <w:szCs w:val="22"/>
          <w:lang w:val="en-US"/>
        </w:rPr>
        <w:t>rates</w:t>
      </w:r>
      <w:r>
        <w:rPr>
          <w:b w:val="0"/>
          <w:sz w:val="22"/>
          <w:szCs w:val="22"/>
          <w:lang w:val="en-US"/>
        </w:rPr>
        <w:t xml:space="preserve"> stated in this decision are valid from the 1st of September 2022.</w:t>
      </w:r>
    </w:p>
    <w:p w:rsidR="005D14BE" w:rsidRDefault="005D14BE" w:rsidP="005D14BE">
      <w:pPr>
        <w:pStyle w:val="Szvegtrzs"/>
        <w:jc w:val="both"/>
        <w:rPr>
          <w:b w:val="0"/>
          <w:sz w:val="22"/>
        </w:rPr>
      </w:pPr>
    </w:p>
    <w:p w:rsidR="005D14BE" w:rsidRDefault="005D14BE" w:rsidP="005D14BE">
      <w:pPr>
        <w:pStyle w:val="Szvegtrzs"/>
        <w:jc w:val="both"/>
        <w:rPr>
          <w:b w:val="0"/>
          <w:sz w:val="22"/>
        </w:rPr>
      </w:pPr>
    </w:p>
    <w:p w:rsidR="005D14BE" w:rsidRDefault="005D14BE" w:rsidP="005D14BE">
      <w:pPr>
        <w:pStyle w:val="Szvegtrzs"/>
        <w:jc w:val="both"/>
        <w:rPr>
          <w:b w:val="0"/>
          <w:sz w:val="22"/>
        </w:rPr>
      </w:pPr>
    </w:p>
    <w:p w:rsidR="005D14BE" w:rsidRDefault="005D14BE" w:rsidP="005D14BE">
      <w:pPr>
        <w:rPr>
          <w:sz w:val="22"/>
          <w:szCs w:val="22"/>
        </w:rPr>
      </w:pPr>
      <w:r>
        <w:rPr>
          <w:sz w:val="22"/>
          <w:szCs w:val="22"/>
          <w:lang w:val="en-US"/>
        </w:rPr>
        <w:t>Budapest, 28</w:t>
      </w:r>
      <w:r w:rsidR="00DD5434">
        <w:rPr>
          <w:sz w:val="22"/>
          <w:szCs w:val="22"/>
          <w:lang w:val="en-US"/>
        </w:rPr>
        <w:t>th</w:t>
      </w:r>
      <w:r>
        <w:rPr>
          <w:sz w:val="22"/>
          <w:szCs w:val="22"/>
          <w:lang w:val="en-US"/>
        </w:rPr>
        <w:t xml:space="preserve"> September 2022</w:t>
      </w:r>
      <w:r>
        <w:rPr>
          <w:sz w:val="22"/>
          <w:szCs w:val="22"/>
          <w:lang w:val="en-US"/>
        </w:rPr>
        <w:tab/>
      </w:r>
      <w:r>
        <w:rPr>
          <w:sz w:val="22"/>
          <w:szCs w:val="22"/>
          <w:lang w:val="en-US"/>
        </w:rPr>
        <w:tab/>
      </w:r>
    </w:p>
    <w:p w:rsidR="005D14BE" w:rsidRDefault="005D14BE" w:rsidP="005D14BE">
      <w:pPr>
        <w:rPr>
          <w:sz w:val="22"/>
          <w:szCs w:val="22"/>
        </w:rPr>
      </w:pPr>
    </w:p>
    <w:p w:rsidR="005D14BE" w:rsidRDefault="005D14BE" w:rsidP="005D14BE">
      <w:pPr>
        <w:rPr>
          <w:sz w:val="22"/>
          <w:szCs w:val="22"/>
        </w:rPr>
      </w:pPr>
      <w:r w:rsidRPr="00492EC8">
        <w:rPr>
          <w:sz w:val="22"/>
          <w:szCs w:val="22"/>
        </w:rPr>
        <w:tab/>
      </w:r>
      <w:r w:rsidRPr="00492EC8">
        <w:rPr>
          <w:sz w:val="22"/>
          <w:szCs w:val="22"/>
        </w:rPr>
        <w:tab/>
      </w:r>
    </w:p>
    <w:p w:rsidR="005D14BE" w:rsidRDefault="005D14BE" w:rsidP="005D14B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92EC8">
        <w:rPr>
          <w:sz w:val="22"/>
          <w:szCs w:val="22"/>
        </w:rPr>
        <w:tab/>
      </w:r>
    </w:p>
    <w:p w:rsidR="005D14BE" w:rsidRPr="00492EC8" w:rsidRDefault="005D14BE" w:rsidP="005D14BE">
      <w:pPr>
        <w:rPr>
          <w:sz w:val="22"/>
          <w:szCs w:val="22"/>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roofErr w:type="spellStart"/>
      <w:r>
        <w:rPr>
          <w:sz w:val="22"/>
          <w:szCs w:val="22"/>
          <w:lang w:val="en-US"/>
        </w:rPr>
        <w:t>Dr</w:t>
      </w:r>
      <w:proofErr w:type="spellEnd"/>
      <w:r>
        <w:rPr>
          <w:sz w:val="22"/>
          <w:szCs w:val="22"/>
          <w:lang w:val="en-US"/>
        </w:rPr>
        <w:t xml:space="preserve"> </w:t>
      </w:r>
      <w:proofErr w:type="spellStart"/>
      <w:r>
        <w:rPr>
          <w:sz w:val="22"/>
          <w:szCs w:val="22"/>
          <w:lang w:val="en-US"/>
        </w:rPr>
        <w:t>Ferenc</w:t>
      </w:r>
      <w:proofErr w:type="spellEnd"/>
      <w:r>
        <w:rPr>
          <w:sz w:val="22"/>
          <w:szCs w:val="22"/>
          <w:lang w:val="en-US"/>
        </w:rPr>
        <w:t xml:space="preserve"> </w:t>
      </w:r>
      <w:proofErr w:type="spellStart"/>
      <w:r>
        <w:rPr>
          <w:sz w:val="22"/>
          <w:szCs w:val="22"/>
          <w:lang w:val="en-US"/>
        </w:rPr>
        <w:t>Godó</w:t>
      </w:r>
      <w:proofErr w:type="spellEnd"/>
    </w:p>
    <w:p w:rsidR="005D14BE" w:rsidRDefault="005D14BE" w:rsidP="005D14BE">
      <w:pPr>
        <w:rPr>
          <w:sz w:val="22"/>
          <w:szCs w:val="22"/>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 xml:space="preserve">         Director</w:t>
      </w:r>
    </w:p>
    <w:p w:rsidR="005D14BE" w:rsidRPr="00B91306" w:rsidRDefault="005D14BE" w:rsidP="005D14BE">
      <w:pPr>
        <w:tabs>
          <w:tab w:val="left" w:pos="6180"/>
        </w:tabs>
        <w:rPr>
          <w:sz w:val="22"/>
          <w:szCs w:val="22"/>
        </w:rPr>
      </w:pPr>
      <w:r>
        <w:rPr>
          <w:sz w:val="22"/>
          <w:szCs w:val="22"/>
          <w:lang w:val="en-US"/>
        </w:rPr>
        <w:tab/>
        <w:t xml:space="preserve">  signed</w:t>
      </w:r>
    </w:p>
    <w:p w:rsidR="004423B3" w:rsidRPr="00B91306" w:rsidRDefault="004423B3" w:rsidP="005D14BE">
      <w:pPr>
        <w:pStyle w:val="Szvegtrzs"/>
        <w:jc w:val="both"/>
        <w:rPr>
          <w:sz w:val="22"/>
          <w:szCs w:val="22"/>
        </w:rPr>
      </w:pPr>
    </w:p>
    <w:sectPr w:rsidR="004423B3" w:rsidRPr="00B91306">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848" w:rsidRDefault="00C86848">
      <w:r>
        <w:separator/>
      </w:r>
    </w:p>
  </w:endnote>
  <w:endnote w:type="continuationSeparator" w:id="0">
    <w:p w:rsidR="00C86848" w:rsidRDefault="00C8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848" w:rsidRDefault="00C86848">
      <w:r>
        <w:separator/>
      </w:r>
    </w:p>
  </w:footnote>
  <w:footnote w:type="continuationSeparator" w:id="0">
    <w:p w:rsidR="00C86848" w:rsidRDefault="00C86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15" w:rsidRPr="002138C0" w:rsidRDefault="005D14BE" w:rsidP="005D14BE">
    <w:pPr>
      <w:pStyle w:val="lfej"/>
      <w:pBdr>
        <w:bottom w:val="single" w:sz="6" w:space="1" w:color="auto"/>
      </w:pBdr>
      <w:jc w:val="center"/>
      <w:rPr>
        <w:i/>
        <w:sz w:val="18"/>
        <w:szCs w:val="18"/>
      </w:rPr>
    </w:pPr>
    <w:r w:rsidRPr="005D14BE">
      <w:rPr>
        <w:i/>
        <w:sz w:val="18"/>
        <w:szCs w:val="18"/>
      </w:rPr>
      <w:t xml:space="preserve">Amending Decision </w:t>
    </w:r>
    <w:proofErr w:type="gramStart"/>
    <w:r w:rsidRPr="005D14BE">
      <w:rPr>
        <w:i/>
        <w:sz w:val="18"/>
        <w:szCs w:val="18"/>
      </w:rPr>
      <w:t>No</w:t>
    </w:r>
    <w:proofErr w:type="gramEnd"/>
    <w:r w:rsidRPr="005D14BE">
      <w:rPr>
        <w:i/>
        <w:sz w:val="18"/>
        <w:szCs w:val="18"/>
      </w:rPr>
      <w:t xml:space="preserve">. 13/2022 of </w:t>
    </w:r>
    <w:proofErr w:type="spellStart"/>
    <w:r w:rsidRPr="005D14BE">
      <w:rPr>
        <w:i/>
        <w:sz w:val="18"/>
        <w:szCs w:val="18"/>
      </w:rPr>
      <w:t>the</w:t>
    </w:r>
    <w:proofErr w:type="spellEnd"/>
    <w:r w:rsidRPr="005D14BE">
      <w:rPr>
        <w:i/>
        <w:sz w:val="18"/>
        <w:szCs w:val="18"/>
      </w:rPr>
      <w:t xml:space="preserve"> </w:t>
    </w:r>
    <w:proofErr w:type="spellStart"/>
    <w:r w:rsidRPr="005D14BE">
      <w:rPr>
        <w:i/>
        <w:sz w:val="18"/>
        <w:szCs w:val="18"/>
      </w:rPr>
      <w:t>Director</w:t>
    </w:r>
    <w:proofErr w:type="spellEnd"/>
    <w:r w:rsidRPr="005D14BE">
      <w:rPr>
        <w:i/>
        <w:sz w:val="18"/>
        <w:szCs w:val="18"/>
      </w:rPr>
      <w:t xml:space="preserve"> of </w:t>
    </w:r>
    <w:proofErr w:type="spellStart"/>
    <w:r w:rsidRPr="005D14BE">
      <w:rPr>
        <w:i/>
        <w:sz w:val="18"/>
        <w:szCs w:val="18"/>
      </w:rPr>
      <w:t>the</w:t>
    </w:r>
    <w:proofErr w:type="spellEnd"/>
    <w:r w:rsidRPr="005D14BE">
      <w:rPr>
        <w:i/>
        <w:sz w:val="18"/>
        <w:szCs w:val="18"/>
      </w:rPr>
      <w:t xml:space="preserve"> Colleges </w:t>
    </w:r>
    <w:proofErr w:type="spellStart"/>
    <w:r w:rsidRPr="005D14BE">
      <w:rPr>
        <w:i/>
        <w:sz w:val="18"/>
        <w:szCs w:val="18"/>
      </w:rPr>
      <w:t>on</w:t>
    </w:r>
    <w:proofErr w:type="spellEnd"/>
    <w:r w:rsidRPr="005D14BE">
      <w:rPr>
        <w:i/>
        <w:sz w:val="18"/>
        <w:szCs w:val="18"/>
      </w:rPr>
      <w:t xml:space="preserve"> </w:t>
    </w:r>
    <w:proofErr w:type="spellStart"/>
    <w:r w:rsidRPr="005D14BE">
      <w:rPr>
        <w:i/>
        <w:sz w:val="18"/>
        <w:szCs w:val="18"/>
      </w:rPr>
      <w:t>the</w:t>
    </w:r>
    <w:proofErr w:type="spellEnd"/>
    <w:r w:rsidRPr="005D14BE">
      <w:rPr>
        <w:i/>
        <w:sz w:val="18"/>
        <w:szCs w:val="18"/>
      </w:rPr>
      <w:t xml:space="preserve"> </w:t>
    </w:r>
    <w:proofErr w:type="spellStart"/>
    <w:r w:rsidR="00DD5434">
      <w:rPr>
        <w:i/>
        <w:sz w:val="18"/>
        <w:szCs w:val="18"/>
      </w:rPr>
      <w:t>accommodation</w:t>
    </w:r>
    <w:proofErr w:type="spellEnd"/>
    <w:r w:rsidR="00DD5434">
      <w:rPr>
        <w:i/>
        <w:sz w:val="18"/>
        <w:szCs w:val="18"/>
      </w:rPr>
      <w:t xml:space="preserve"> </w:t>
    </w:r>
    <w:proofErr w:type="spellStart"/>
    <w:r w:rsidR="00DD5434">
      <w:rPr>
        <w:i/>
        <w:sz w:val="18"/>
        <w:szCs w:val="18"/>
      </w:rPr>
      <w:t>rates</w:t>
    </w:r>
    <w:proofErr w:type="spellEnd"/>
    <w:r w:rsidRPr="005D14BE">
      <w:rPr>
        <w:i/>
        <w:sz w:val="18"/>
        <w:szCs w:val="18"/>
      </w:rPr>
      <w:t xml:space="preserve"> </w:t>
    </w:r>
    <w:proofErr w:type="spellStart"/>
    <w:r w:rsidRPr="005D14BE">
      <w:rPr>
        <w:i/>
        <w:sz w:val="18"/>
        <w:szCs w:val="18"/>
      </w:rPr>
      <w:t>applicable</w:t>
    </w:r>
    <w:proofErr w:type="spellEnd"/>
    <w:r w:rsidRPr="005D14BE">
      <w:rPr>
        <w:i/>
        <w:sz w:val="18"/>
        <w:szCs w:val="18"/>
      </w:rPr>
      <w:t xml:space="preserve"> in </w:t>
    </w:r>
    <w:proofErr w:type="spellStart"/>
    <w:r w:rsidRPr="005D14BE">
      <w:rPr>
        <w:i/>
        <w:sz w:val="18"/>
        <w:szCs w:val="18"/>
      </w:rPr>
      <w:t>the</w:t>
    </w:r>
    <w:proofErr w:type="spellEnd"/>
    <w:r w:rsidRPr="005D14BE">
      <w:rPr>
        <w:i/>
        <w:sz w:val="18"/>
        <w:szCs w:val="18"/>
      </w:rPr>
      <w:t xml:space="preserve"> Selye János </w:t>
    </w:r>
    <w:proofErr w:type="spellStart"/>
    <w:r w:rsidRPr="005D14BE">
      <w:rPr>
        <w:i/>
        <w:sz w:val="18"/>
        <w:szCs w:val="18"/>
      </w:rPr>
      <w:t>Doctoral</w:t>
    </w:r>
    <w:proofErr w:type="spellEnd"/>
    <w:r w:rsidRPr="005D14BE">
      <w:rPr>
        <w:i/>
        <w:sz w:val="18"/>
        <w:szCs w:val="18"/>
      </w:rPr>
      <w:t xml:space="preserve"> College </w:t>
    </w:r>
    <w:proofErr w:type="spellStart"/>
    <w:r w:rsidRPr="005D14BE">
      <w:rPr>
        <w:i/>
        <w:sz w:val="18"/>
        <w:szCs w:val="18"/>
      </w:rPr>
      <w:t>for</w:t>
    </w:r>
    <w:proofErr w:type="spellEnd"/>
    <w:r w:rsidRPr="005D14BE">
      <w:rPr>
        <w:i/>
        <w:sz w:val="18"/>
        <w:szCs w:val="18"/>
      </w:rPr>
      <w:t xml:space="preserve"> Advanced </w:t>
    </w:r>
    <w:proofErr w:type="spellStart"/>
    <w:r w:rsidRPr="005D14BE">
      <w:rPr>
        <w:i/>
        <w:sz w:val="18"/>
        <w:szCs w:val="18"/>
      </w:rPr>
      <w:t>Studies</w:t>
    </w:r>
    <w:proofErr w:type="spellEnd"/>
    <w:r w:rsidRPr="005D14BE">
      <w:rPr>
        <w:i/>
        <w:sz w:val="18"/>
        <w:szCs w:val="18"/>
      </w:rPr>
      <w:t xml:space="preserve"> </w:t>
    </w:r>
    <w:proofErr w:type="spellStart"/>
    <w:r w:rsidRPr="005D14BE">
      <w:rPr>
        <w:i/>
        <w:sz w:val="18"/>
        <w:szCs w:val="18"/>
      </w:rPr>
      <w:t>for</w:t>
    </w:r>
    <w:proofErr w:type="spellEnd"/>
    <w:r w:rsidRPr="005D14BE">
      <w:rPr>
        <w:i/>
        <w:sz w:val="18"/>
        <w:szCs w:val="18"/>
      </w:rPr>
      <w:t xml:space="preserve"> </w:t>
    </w:r>
    <w:proofErr w:type="spellStart"/>
    <w:r w:rsidRPr="005D14BE">
      <w:rPr>
        <w:i/>
        <w:sz w:val="18"/>
        <w:szCs w:val="18"/>
      </w:rPr>
      <w:t>the</w:t>
    </w:r>
    <w:proofErr w:type="spellEnd"/>
    <w:r w:rsidRPr="005D14BE">
      <w:rPr>
        <w:i/>
        <w:sz w:val="18"/>
        <w:szCs w:val="18"/>
      </w:rPr>
      <w:t xml:space="preserve"> </w:t>
    </w:r>
    <w:proofErr w:type="spellStart"/>
    <w:r w:rsidRPr="005D14BE">
      <w:rPr>
        <w:i/>
        <w:sz w:val="18"/>
        <w:szCs w:val="18"/>
      </w:rPr>
      <w:t>term</w:t>
    </w:r>
    <w:proofErr w:type="spellEnd"/>
    <w:r w:rsidR="00CF5BCD">
      <w:rPr>
        <w:i/>
        <w:sz w:val="18"/>
        <w:szCs w:val="18"/>
      </w:rPr>
      <w:t xml:space="preserve"> </w:t>
    </w:r>
    <w:proofErr w:type="spellStart"/>
    <w:r w:rsidR="00CF5BCD">
      <w:rPr>
        <w:i/>
        <w:sz w:val="18"/>
        <w:szCs w:val="18"/>
      </w:rPr>
      <w:t>from</w:t>
    </w:r>
    <w:proofErr w:type="spellEnd"/>
    <w:r w:rsidRPr="005D14BE">
      <w:rPr>
        <w:i/>
        <w:sz w:val="18"/>
        <w:szCs w:val="18"/>
      </w:rPr>
      <w:t xml:space="preserve"> </w:t>
    </w:r>
    <w:r w:rsidR="00CF5BCD">
      <w:rPr>
        <w:i/>
        <w:sz w:val="18"/>
        <w:szCs w:val="18"/>
      </w:rPr>
      <w:t xml:space="preserve">1st </w:t>
    </w:r>
    <w:proofErr w:type="spellStart"/>
    <w:r w:rsidRPr="005D14BE">
      <w:rPr>
        <w:i/>
        <w:sz w:val="18"/>
        <w:szCs w:val="18"/>
      </w:rPr>
      <w:t>September</w:t>
    </w:r>
    <w:proofErr w:type="spellEnd"/>
    <w:r w:rsidRPr="005D14BE">
      <w:rPr>
        <w:i/>
        <w:sz w:val="18"/>
        <w:szCs w:val="18"/>
      </w:rPr>
      <w:t xml:space="preserve"> 2022 </w:t>
    </w:r>
    <w:proofErr w:type="spellStart"/>
    <w:r w:rsidRPr="005D14BE">
      <w:rPr>
        <w:i/>
        <w:sz w:val="18"/>
        <w:szCs w:val="18"/>
      </w:rPr>
      <w:t>to</w:t>
    </w:r>
    <w:proofErr w:type="spellEnd"/>
    <w:r w:rsidRPr="005D14BE">
      <w:rPr>
        <w:i/>
        <w:sz w:val="18"/>
        <w:szCs w:val="18"/>
      </w:rPr>
      <w:t xml:space="preserve"> </w:t>
    </w:r>
    <w:r w:rsidR="00CF5BCD">
      <w:rPr>
        <w:i/>
        <w:sz w:val="18"/>
        <w:szCs w:val="18"/>
      </w:rPr>
      <w:t xml:space="preserve">31st </w:t>
    </w:r>
    <w:r w:rsidRPr="005D14BE">
      <w:rPr>
        <w:i/>
        <w:sz w:val="18"/>
        <w:szCs w:val="18"/>
      </w:rPr>
      <w:t>August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0CD6"/>
    <w:multiLevelType w:val="hybridMultilevel"/>
    <w:tmpl w:val="C7D61A82"/>
    <w:lvl w:ilvl="0" w:tplc="2DC2CF2E">
      <w:start w:val="1"/>
      <w:numFmt w:val="bullet"/>
      <w:lvlText w:val=""/>
      <w:lvlJc w:val="left"/>
      <w:pPr>
        <w:tabs>
          <w:tab w:val="num" w:pos="360"/>
        </w:tabs>
        <w:ind w:left="340" w:hanging="34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23A45"/>
    <w:multiLevelType w:val="singleLevel"/>
    <w:tmpl w:val="93021F42"/>
    <w:lvl w:ilvl="0">
      <w:start w:val="1"/>
      <w:numFmt w:val="bullet"/>
      <w:lvlText w:val=""/>
      <w:lvlJc w:val="left"/>
      <w:pPr>
        <w:tabs>
          <w:tab w:val="num" w:pos="680"/>
        </w:tabs>
        <w:ind w:left="680" w:hanging="396"/>
      </w:pPr>
      <w:rPr>
        <w:rFonts w:ascii="Wingdings" w:hAnsi="Wingdings" w:hint="default"/>
      </w:rPr>
    </w:lvl>
  </w:abstractNum>
  <w:abstractNum w:abstractNumId="2" w15:restartNumberingAfterBreak="0">
    <w:nsid w:val="47651E24"/>
    <w:multiLevelType w:val="hybridMultilevel"/>
    <w:tmpl w:val="E8F80EF6"/>
    <w:lvl w:ilvl="0" w:tplc="43A22ED6">
      <w:start w:val="1"/>
      <w:numFmt w:val="decimal"/>
      <w:lvlText w:val="(%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DEF2009"/>
    <w:multiLevelType w:val="singleLevel"/>
    <w:tmpl w:val="4650B9B0"/>
    <w:lvl w:ilvl="0">
      <w:start w:val="1"/>
      <w:numFmt w:val="decimal"/>
      <w:lvlText w:val="(%1)"/>
      <w:legacy w:legacy="1" w:legacySpace="0" w:legacyIndent="432"/>
      <w:lvlJc w:val="left"/>
      <w:pPr>
        <w:ind w:left="432" w:hanging="432"/>
      </w:pPr>
    </w:lvl>
  </w:abstractNum>
  <w:num w:numId="1">
    <w:abstractNumId w:val="3"/>
  </w:num>
  <w:num w:numId="2">
    <w:abstractNumId w:val="3"/>
    <w:lvlOverride w:ilvl="0">
      <w:lvl w:ilvl="0">
        <w:start w:val="1"/>
        <w:numFmt w:val="decimal"/>
        <w:lvlText w:val="(%1)"/>
        <w:legacy w:legacy="1" w:legacySpace="0" w:legacyIndent="510"/>
        <w:lvlJc w:val="left"/>
        <w:pPr>
          <w:ind w:left="510" w:hanging="510"/>
        </w:pPr>
      </w:lvl>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1MjIzMzMyMbAwMTBX0lEKTi0uzszPAykwrAUAJbK71SwAAAA="/>
  </w:docVars>
  <w:rsids>
    <w:rsidRoot w:val="00987D0D"/>
    <w:rsid w:val="00005CE5"/>
    <w:rsid w:val="00034851"/>
    <w:rsid w:val="000355C1"/>
    <w:rsid w:val="00036204"/>
    <w:rsid w:val="00051710"/>
    <w:rsid w:val="00051EBA"/>
    <w:rsid w:val="00052D0A"/>
    <w:rsid w:val="00095C02"/>
    <w:rsid w:val="000C5DBE"/>
    <w:rsid w:val="000D29EB"/>
    <w:rsid w:val="000E0569"/>
    <w:rsid w:val="000F5687"/>
    <w:rsid w:val="000F618F"/>
    <w:rsid w:val="00103338"/>
    <w:rsid w:val="00106138"/>
    <w:rsid w:val="00127E43"/>
    <w:rsid w:val="001328CB"/>
    <w:rsid w:val="0013582F"/>
    <w:rsid w:val="00143849"/>
    <w:rsid w:val="001509C7"/>
    <w:rsid w:val="001647A2"/>
    <w:rsid w:val="00196DDF"/>
    <w:rsid w:val="001A0743"/>
    <w:rsid w:val="001A62D1"/>
    <w:rsid w:val="001B4F02"/>
    <w:rsid w:val="001C3A24"/>
    <w:rsid w:val="001C3CB6"/>
    <w:rsid w:val="00200804"/>
    <w:rsid w:val="00204552"/>
    <w:rsid w:val="00205C1F"/>
    <w:rsid w:val="0020665F"/>
    <w:rsid w:val="002138C0"/>
    <w:rsid w:val="00232F59"/>
    <w:rsid w:val="00236110"/>
    <w:rsid w:val="00236DF9"/>
    <w:rsid w:val="00237533"/>
    <w:rsid w:val="00244B8B"/>
    <w:rsid w:val="00264733"/>
    <w:rsid w:val="002700F2"/>
    <w:rsid w:val="002833F6"/>
    <w:rsid w:val="002873F7"/>
    <w:rsid w:val="002A102B"/>
    <w:rsid w:val="002A34CE"/>
    <w:rsid w:val="002A6F61"/>
    <w:rsid w:val="002E4CCF"/>
    <w:rsid w:val="00311734"/>
    <w:rsid w:val="00324F3F"/>
    <w:rsid w:val="00330C9D"/>
    <w:rsid w:val="00366DF1"/>
    <w:rsid w:val="0037310E"/>
    <w:rsid w:val="0037444F"/>
    <w:rsid w:val="00385007"/>
    <w:rsid w:val="00385BA2"/>
    <w:rsid w:val="003A316A"/>
    <w:rsid w:val="003B12FC"/>
    <w:rsid w:val="003B1C7E"/>
    <w:rsid w:val="003B5F8C"/>
    <w:rsid w:val="003D6CD3"/>
    <w:rsid w:val="00417378"/>
    <w:rsid w:val="004369D0"/>
    <w:rsid w:val="004423B3"/>
    <w:rsid w:val="00443EAA"/>
    <w:rsid w:val="0044752E"/>
    <w:rsid w:val="004563BB"/>
    <w:rsid w:val="00492EC8"/>
    <w:rsid w:val="004A3B46"/>
    <w:rsid w:val="004E10A5"/>
    <w:rsid w:val="00510053"/>
    <w:rsid w:val="00526BDC"/>
    <w:rsid w:val="00527155"/>
    <w:rsid w:val="0055458C"/>
    <w:rsid w:val="005676B4"/>
    <w:rsid w:val="005732D7"/>
    <w:rsid w:val="00576C42"/>
    <w:rsid w:val="0058096A"/>
    <w:rsid w:val="005C1F62"/>
    <w:rsid w:val="005C32D5"/>
    <w:rsid w:val="005D14BE"/>
    <w:rsid w:val="005D46E7"/>
    <w:rsid w:val="005D71E8"/>
    <w:rsid w:val="005E5367"/>
    <w:rsid w:val="00616AC8"/>
    <w:rsid w:val="00635F54"/>
    <w:rsid w:val="00660BD8"/>
    <w:rsid w:val="00675196"/>
    <w:rsid w:val="00692941"/>
    <w:rsid w:val="006A4037"/>
    <w:rsid w:val="006A4413"/>
    <w:rsid w:val="006C0C79"/>
    <w:rsid w:val="006C496D"/>
    <w:rsid w:val="006E033B"/>
    <w:rsid w:val="006E6A23"/>
    <w:rsid w:val="00701591"/>
    <w:rsid w:val="00730B61"/>
    <w:rsid w:val="007516E5"/>
    <w:rsid w:val="00774ECB"/>
    <w:rsid w:val="00777DF9"/>
    <w:rsid w:val="007834A8"/>
    <w:rsid w:val="007B3E2C"/>
    <w:rsid w:val="007D5B86"/>
    <w:rsid w:val="007F5CDE"/>
    <w:rsid w:val="007F6E2C"/>
    <w:rsid w:val="008135EA"/>
    <w:rsid w:val="008235AF"/>
    <w:rsid w:val="00826F60"/>
    <w:rsid w:val="00844165"/>
    <w:rsid w:val="00853428"/>
    <w:rsid w:val="0085782A"/>
    <w:rsid w:val="00872815"/>
    <w:rsid w:val="008E74EB"/>
    <w:rsid w:val="008F1488"/>
    <w:rsid w:val="00903AA0"/>
    <w:rsid w:val="00916100"/>
    <w:rsid w:val="00940F5A"/>
    <w:rsid w:val="0094481F"/>
    <w:rsid w:val="00966F09"/>
    <w:rsid w:val="0097374C"/>
    <w:rsid w:val="0098067D"/>
    <w:rsid w:val="00986C22"/>
    <w:rsid w:val="00987D0D"/>
    <w:rsid w:val="009D43B5"/>
    <w:rsid w:val="009F4585"/>
    <w:rsid w:val="00A43956"/>
    <w:rsid w:val="00A47B01"/>
    <w:rsid w:val="00A55E03"/>
    <w:rsid w:val="00A604D0"/>
    <w:rsid w:val="00A71CD4"/>
    <w:rsid w:val="00A765E2"/>
    <w:rsid w:val="00AB0819"/>
    <w:rsid w:val="00AB7917"/>
    <w:rsid w:val="00AD22E7"/>
    <w:rsid w:val="00AE3F36"/>
    <w:rsid w:val="00B026B0"/>
    <w:rsid w:val="00B05CB7"/>
    <w:rsid w:val="00B10EB8"/>
    <w:rsid w:val="00B20067"/>
    <w:rsid w:val="00B27C81"/>
    <w:rsid w:val="00B30012"/>
    <w:rsid w:val="00B36D0A"/>
    <w:rsid w:val="00B4033C"/>
    <w:rsid w:val="00B42C30"/>
    <w:rsid w:val="00B517BA"/>
    <w:rsid w:val="00B53E87"/>
    <w:rsid w:val="00B61995"/>
    <w:rsid w:val="00B66BC3"/>
    <w:rsid w:val="00B735B8"/>
    <w:rsid w:val="00B81875"/>
    <w:rsid w:val="00B8441F"/>
    <w:rsid w:val="00B91306"/>
    <w:rsid w:val="00B94437"/>
    <w:rsid w:val="00BD7456"/>
    <w:rsid w:val="00BD77FD"/>
    <w:rsid w:val="00C11ACF"/>
    <w:rsid w:val="00C31AAF"/>
    <w:rsid w:val="00C45B78"/>
    <w:rsid w:val="00C56BEB"/>
    <w:rsid w:val="00C57F56"/>
    <w:rsid w:val="00C86848"/>
    <w:rsid w:val="00CA01F5"/>
    <w:rsid w:val="00CB4FDE"/>
    <w:rsid w:val="00CC54DA"/>
    <w:rsid w:val="00CF0A76"/>
    <w:rsid w:val="00CF5BCD"/>
    <w:rsid w:val="00CF7E4A"/>
    <w:rsid w:val="00D137AD"/>
    <w:rsid w:val="00D2420B"/>
    <w:rsid w:val="00D2612B"/>
    <w:rsid w:val="00D32C73"/>
    <w:rsid w:val="00D54162"/>
    <w:rsid w:val="00D803FB"/>
    <w:rsid w:val="00D90772"/>
    <w:rsid w:val="00D94FA2"/>
    <w:rsid w:val="00DD2863"/>
    <w:rsid w:val="00DD5434"/>
    <w:rsid w:val="00E12DD1"/>
    <w:rsid w:val="00E26950"/>
    <w:rsid w:val="00E50BF8"/>
    <w:rsid w:val="00E55066"/>
    <w:rsid w:val="00E7128E"/>
    <w:rsid w:val="00EB447D"/>
    <w:rsid w:val="00EB77E6"/>
    <w:rsid w:val="00ED5F08"/>
    <w:rsid w:val="00F2008A"/>
    <w:rsid w:val="00F23234"/>
    <w:rsid w:val="00F2545B"/>
    <w:rsid w:val="00F4778C"/>
    <w:rsid w:val="00F55EF0"/>
    <w:rsid w:val="00F754DC"/>
    <w:rsid w:val="00F86B6A"/>
    <w:rsid w:val="00F9411F"/>
    <w:rsid w:val="00F9715B"/>
    <w:rsid w:val="00FB6531"/>
    <w:rsid w:val="00FC1C9A"/>
    <w:rsid w:val="00FE05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7EA5"/>
  <w15:chartTrackingRefBased/>
  <w15:docId w15:val="{8CC9BD2B-7461-4093-8EA8-12D0EFD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sz w:val="28"/>
      <w:szCs w:val="20"/>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pPr>
      <w:jc w:val="center"/>
    </w:pPr>
    <w:rPr>
      <w:b/>
      <w:sz w:val="28"/>
    </w:rPr>
  </w:style>
  <w:style w:type="paragraph" w:styleId="Buborkszveg">
    <w:name w:val="Balloon Text"/>
    <w:basedOn w:val="Norml"/>
    <w:link w:val="BuborkszvegChar"/>
    <w:rsid w:val="009F4585"/>
    <w:rPr>
      <w:rFonts w:ascii="Tahoma" w:hAnsi="Tahoma"/>
      <w:sz w:val="16"/>
      <w:szCs w:val="16"/>
      <w:lang w:val="x-none" w:eastAsia="x-none"/>
    </w:rPr>
  </w:style>
  <w:style w:type="character" w:customStyle="1" w:styleId="BuborkszvegChar">
    <w:name w:val="Buborékszöveg Char"/>
    <w:link w:val="Buborkszveg"/>
    <w:rsid w:val="009F4585"/>
    <w:rPr>
      <w:rFonts w:ascii="Tahoma" w:hAnsi="Tahoma" w:cs="Tahoma"/>
      <w:sz w:val="16"/>
      <w:szCs w:val="16"/>
    </w:rPr>
  </w:style>
  <w:style w:type="paragraph" w:styleId="Vltozat">
    <w:name w:val="Revision"/>
    <w:hidden/>
    <w:uiPriority w:val="99"/>
    <w:semiHidden/>
    <w:rsid w:val="001328CB"/>
    <w:rPr>
      <w:sz w:val="24"/>
      <w:szCs w:val="24"/>
    </w:rPr>
  </w:style>
  <w:style w:type="character" w:styleId="Jegyzethivatkozs">
    <w:name w:val="annotation reference"/>
    <w:rsid w:val="00324F3F"/>
    <w:rPr>
      <w:sz w:val="16"/>
      <w:szCs w:val="16"/>
    </w:rPr>
  </w:style>
  <w:style w:type="paragraph" w:styleId="Jegyzetszveg">
    <w:name w:val="annotation text"/>
    <w:basedOn w:val="Norml"/>
    <w:link w:val="JegyzetszvegChar"/>
    <w:rsid w:val="00324F3F"/>
    <w:rPr>
      <w:sz w:val="20"/>
      <w:szCs w:val="20"/>
    </w:rPr>
  </w:style>
  <w:style w:type="character" w:customStyle="1" w:styleId="JegyzetszvegChar">
    <w:name w:val="Jegyzetszöveg Char"/>
    <w:basedOn w:val="Bekezdsalapbettpusa"/>
    <w:link w:val="Jegyzetszveg"/>
    <w:rsid w:val="00324F3F"/>
  </w:style>
  <w:style w:type="paragraph" w:styleId="Megjegyzstrgya">
    <w:name w:val="annotation subject"/>
    <w:basedOn w:val="Jegyzetszveg"/>
    <w:next w:val="Jegyzetszveg"/>
    <w:link w:val="MegjegyzstrgyaChar"/>
    <w:rsid w:val="00324F3F"/>
    <w:rPr>
      <w:b/>
      <w:bCs/>
      <w:lang w:val="x-none" w:eastAsia="x-none"/>
    </w:rPr>
  </w:style>
  <w:style w:type="character" w:customStyle="1" w:styleId="MegjegyzstrgyaChar">
    <w:name w:val="Megjegyzés tárgya Char"/>
    <w:link w:val="Megjegyzstrgya"/>
    <w:rsid w:val="00324F3F"/>
    <w:rPr>
      <w:b/>
      <w:bCs/>
    </w:rPr>
  </w:style>
  <w:style w:type="table" w:styleId="Rcsostblzat">
    <w:name w:val="Table Grid"/>
    <w:basedOn w:val="Normltblzat"/>
    <w:rsid w:val="0016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01E6-75D9-44E5-A3A7-D2F9E5D3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1858</Characters>
  <Application>Microsoft Office Word</Application>
  <DocSecurity>0</DocSecurity>
  <Lines>54</Lines>
  <Paragraphs>24</Paragraphs>
  <ScaleCrop>false</ScaleCrop>
  <HeadingPairs>
    <vt:vector size="2" baseType="variant">
      <vt:variant>
        <vt:lpstr>Cím</vt:lpstr>
      </vt:variant>
      <vt:variant>
        <vt:i4>1</vt:i4>
      </vt:variant>
    </vt:vector>
  </HeadingPairs>
  <TitlesOfParts>
    <vt:vector size="1" baseType="lpstr">
      <vt:lpstr>A Kollégiumok Főigazgatójának 14/2003</vt:lpstr>
    </vt:vector>
  </TitlesOfParts>
  <Company>Semmelweis Egyetem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Kollégiumok Főigazgatójának 14/2003</dc:title>
  <dc:subject/>
  <dc:creator>Dr. Godó Ferenc</dc:creator>
  <cp:keywords/>
  <cp:lastModifiedBy>Lapulevél</cp:lastModifiedBy>
  <cp:revision>4</cp:revision>
  <cp:lastPrinted>2022-09-28T07:01:00Z</cp:lastPrinted>
  <dcterms:created xsi:type="dcterms:W3CDTF">2022-10-06T12:28:00Z</dcterms:created>
  <dcterms:modified xsi:type="dcterms:W3CDTF">2022-10-11T10:46:00Z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d3f7d7a24b53c9f31c8ce19e2c8773fd52aa59e159216f32ca50627c68627337</vt:lpwstr>
  </property>
</Properties>
</file>