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FEC11" w14:textId="4AE5C55D" w:rsidR="00822734" w:rsidRDefault="00822734" w:rsidP="00D63CAB">
      <w:pPr>
        <w:jc w:val="center"/>
        <w:rPr>
          <w:rFonts w:ascii="Times New Roman" w:hAnsi="Times New Roman" w:cs="Times New Roman"/>
          <w:b/>
          <w:sz w:val="28"/>
        </w:rPr>
      </w:pPr>
      <w:r>
        <w:rPr>
          <w:rFonts w:ascii="Times New Roman" w:hAnsi="Times New Roman" w:cs="Times New Roman"/>
          <w:b/>
          <w:sz w:val="28"/>
        </w:rPr>
        <w:t>Klinikai kutatásokkal-vizsgálatokkal kapcsolatos pénzügyi feltételek</w:t>
      </w:r>
    </w:p>
    <w:p w14:paraId="12DBAA4C" w14:textId="77777777" w:rsidR="00822734" w:rsidRDefault="00822734" w:rsidP="00822734">
      <w:pPr>
        <w:rPr>
          <w:rFonts w:ascii="Times New Roman" w:hAnsi="Times New Roman" w:cs="Times New Roman"/>
          <w:b/>
          <w:sz w:val="24"/>
          <w:szCs w:val="24"/>
        </w:rPr>
      </w:pPr>
    </w:p>
    <w:p w14:paraId="4262F2E9" w14:textId="12DF87FE" w:rsidR="00DD67E2" w:rsidRPr="00822734" w:rsidRDefault="009B0E1F" w:rsidP="00822734">
      <w:pPr>
        <w:rPr>
          <w:rFonts w:ascii="Times New Roman" w:hAnsi="Times New Roman" w:cs="Times New Roman"/>
          <w:b/>
          <w:sz w:val="24"/>
          <w:szCs w:val="24"/>
        </w:rPr>
      </w:pPr>
      <w:r>
        <w:rPr>
          <w:rFonts w:ascii="Times New Roman" w:hAnsi="Times New Roman" w:cs="Times New Roman"/>
          <w:b/>
          <w:sz w:val="24"/>
          <w:szCs w:val="24"/>
        </w:rPr>
        <w:t>S</w:t>
      </w:r>
      <w:r w:rsidR="00822734" w:rsidRPr="00822734">
        <w:rPr>
          <w:rFonts w:ascii="Times New Roman" w:hAnsi="Times New Roman" w:cs="Times New Roman"/>
          <w:b/>
          <w:sz w:val="24"/>
          <w:szCs w:val="24"/>
        </w:rPr>
        <w:t>zerződéskötési díjak</w:t>
      </w:r>
    </w:p>
    <w:p w14:paraId="6F959554" w14:textId="625C7B72" w:rsidR="00E3523B" w:rsidRDefault="00E3523B" w:rsidP="00324646">
      <w:pPr>
        <w:spacing w:line="276" w:lineRule="auto"/>
        <w:jc w:val="both"/>
        <w:rPr>
          <w:rFonts w:ascii="Times New Roman" w:eastAsia="Times" w:hAnsi="Times New Roman" w:cs="Times New Roman"/>
          <w:sz w:val="24"/>
          <w:szCs w:val="24"/>
        </w:rPr>
      </w:pPr>
      <w:r w:rsidRPr="002C06BA">
        <w:rPr>
          <w:rFonts w:ascii="Times New Roman" w:eastAsia="Times" w:hAnsi="Times New Roman" w:cs="Times New Roman"/>
          <w:sz w:val="24"/>
          <w:szCs w:val="24"/>
        </w:rPr>
        <w:t>A szerződésben rögzíteni kell, hogy a</w:t>
      </w:r>
      <w:r w:rsidR="006F0364" w:rsidRPr="002C06BA">
        <w:rPr>
          <w:rFonts w:ascii="Times New Roman" w:eastAsia="Times" w:hAnsi="Times New Roman" w:cs="Times New Roman"/>
          <w:b/>
          <w:sz w:val="24"/>
          <w:szCs w:val="24"/>
        </w:rPr>
        <w:t>z Egyetem</w:t>
      </w:r>
      <w:r w:rsidRPr="002C06BA">
        <w:rPr>
          <w:rFonts w:ascii="Times New Roman" w:eastAsia="Times" w:hAnsi="Times New Roman" w:cs="Times New Roman"/>
          <w:b/>
          <w:sz w:val="24"/>
          <w:szCs w:val="24"/>
        </w:rPr>
        <w:t xml:space="preserve"> szerződéskötési és egyéb szolgáltatási díjat számol fel a felmerülő igazgatási, jogi, biztosítási költségeinek a fedezésére</w:t>
      </w:r>
      <w:r w:rsidRPr="002C06BA">
        <w:rPr>
          <w:rFonts w:ascii="Times New Roman" w:eastAsia="Times" w:hAnsi="Times New Roman" w:cs="Times New Roman"/>
          <w:sz w:val="24"/>
          <w:szCs w:val="24"/>
        </w:rPr>
        <w:t xml:space="preserve">. A szerződéskötési </w:t>
      </w:r>
      <w:r w:rsidR="00F21322">
        <w:rPr>
          <w:rFonts w:ascii="Times New Roman" w:eastAsia="Times" w:hAnsi="Times New Roman" w:cs="Times New Roman"/>
          <w:sz w:val="24"/>
          <w:szCs w:val="24"/>
        </w:rPr>
        <w:t xml:space="preserve">díj </w:t>
      </w:r>
      <w:r w:rsidRPr="002C06BA">
        <w:rPr>
          <w:rFonts w:ascii="Times New Roman" w:eastAsia="Times" w:hAnsi="Times New Roman" w:cs="Times New Roman"/>
          <w:sz w:val="24"/>
          <w:szCs w:val="24"/>
        </w:rPr>
        <w:t xml:space="preserve">a szerződés megkötését követően esedékes, az </w:t>
      </w:r>
      <w:r w:rsidRPr="002C06BA">
        <w:rPr>
          <w:rFonts w:ascii="Times New Roman" w:eastAsia="Times" w:hAnsi="Times New Roman" w:cs="Times New Roman"/>
          <w:b/>
          <w:sz w:val="24"/>
          <w:szCs w:val="24"/>
        </w:rPr>
        <w:t>erről szóló számla kiállítását követő 30 napon belül, független a teljesítés mértékétől</w:t>
      </w:r>
      <w:r w:rsidRPr="002C06BA">
        <w:rPr>
          <w:rFonts w:ascii="Times New Roman" w:eastAsia="Times" w:hAnsi="Times New Roman" w:cs="Times New Roman"/>
          <w:sz w:val="24"/>
          <w:szCs w:val="24"/>
        </w:rPr>
        <w:t>. A szerződéskötési</w:t>
      </w:r>
      <w:r w:rsidR="002C06BA">
        <w:rPr>
          <w:rFonts w:ascii="Times New Roman" w:eastAsia="Times" w:hAnsi="Times New Roman" w:cs="Times New Roman"/>
          <w:sz w:val="24"/>
          <w:szCs w:val="24"/>
        </w:rPr>
        <w:t>,</w:t>
      </w:r>
      <w:r w:rsidRPr="002C06BA">
        <w:rPr>
          <w:rFonts w:ascii="Times New Roman" w:eastAsia="Times" w:hAnsi="Times New Roman" w:cs="Times New Roman"/>
          <w:sz w:val="24"/>
          <w:szCs w:val="24"/>
        </w:rPr>
        <w:t xml:space="preserve"> és </w:t>
      </w:r>
      <w:proofErr w:type="gramStart"/>
      <w:r w:rsidRPr="002C06BA">
        <w:rPr>
          <w:rFonts w:ascii="Times New Roman" w:eastAsia="Times" w:hAnsi="Times New Roman" w:cs="Times New Roman"/>
          <w:sz w:val="24"/>
          <w:szCs w:val="24"/>
        </w:rPr>
        <w:t>egyes esetekben</w:t>
      </w:r>
      <w:proofErr w:type="gramEnd"/>
      <w:r w:rsidRPr="002C06BA">
        <w:rPr>
          <w:rFonts w:ascii="Times New Roman" w:eastAsia="Times" w:hAnsi="Times New Roman" w:cs="Times New Roman"/>
          <w:sz w:val="24"/>
          <w:szCs w:val="24"/>
        </w:rPr>
        <w:t xml:space="preserve"> – a közzétett </w:t>
      </w:r>
      <w:proofErr w:type="spellStart"/>
      <w:r w:rsidRPr="002C06BA">
        <w:rPr>
          <w:rFonts w:ascii="Times New Roman" w:eastAsia="Times" w:hAnsi="Times New Roman" w:cs="Times New Roman"/>
          <w:sz w:val="24"/>
          <w:szCs w:val="24"/>
        </w:rPr>
        <w:t>árlista</w:t>
      </w:r>
      <w:proofErr w:type="spellEnd"/>
      <w:r w:rsidRPr="002C06BA">
        <w:rPr>
          <w:rFonts w:ascii="Times New Roman" w:eastAsia="Times" w:hAnsi="Times New Roman" w:cs="Times New Roman"/>
          <w:sz w:val="24"/>
          <w:szCs w:val="24"/>
        </w:rPr>
        <w:t xml:space="preserve"> alapján - az egyéb szolgáltatási díj akkor is megilleti az E</w:t>
      </w:r>
      <w:r w:rsidR="006F0364" w:rsidRPr="002C06BA">
        <w:rPr>
          <w:rFonts w:ascii="Times New Roman" w:eastAsia="Times" w:hAnsi="Times New Roman" w:cs="Times New Roman"/>
          <w:sz w:val="24"/>
          <w:szCs w:val="24"/>
        </w:rPr>
        <w:t>gyeteme</w:t>
      </w:r>
      <w:r w:rsidRPr="002C06BA">
        <w:rPr>
          <w:rFonts w:ascii="Times New Roman" w:eastAsia="Times" w:hAnsi="Times New Roman" w:cs="Times New Roman"/>
          <w:sz w:val="24"/>
          <w:szCs w:val="24"/>
        </w:rPr>
        <w:t xml:space="preserve">t, ha a vizsgálat megkezdése, elvégzése a kutatást kezdeményező miatt nem jön létre. </w:t>
      </w:r>
    </w:p>
    <w:p w14:paraId="094AA291" w14:textId="77777777" w:rsidR="00324646" w:rsidRPr="00324646" w:rsidRDefault="00324646" w:rsidP="00324646">
      <w:pPr>
        <w:spacing w:line="276" w:lineRule="auto"/>
        <w:jc w:val="both"/>
        <w:rPr>
          <w:rFonts w:ascii="Times New Roman" w:eastAsia="Times" w:hAnsi="Times New Roman" w:cs="Times New Roman"/>
          <w:sz w:val="24"/>
          <w:szCs w:val="24"/>
        </w:rPr>
      </w:pPr>
    </w:p>
    <w:p w14:paraId="7BFA1C16" w14:textId="664153FA" w:rsidR="00822734" w:rsidRPr="002C06BA" w:rsidRDefault="00822734" w:rsidP="00822734">
      <w:pPr>
        <w:tabs>
          <w:tab w:val="left" w:pos="5149"/>
        </w:tabs>
        <w:jc w:val="both"/>
        <w:rPr>
          <w:rFonts w:ascii="Times New Roman" w:hAnsi="Times New Roman" w:cs="Times New Roman"/>
          <w:b/>
          <w:sz w:val="24"/>
          <w:szCs w:val="24"/>
        </w:rPr>
      </w:pPr>
      <w:r w:rsidRPr="00822734">
        <w:rPr>
          <w:rFonts w:ascii="Times New Roman" w:hAnsi="Times New Roman" w:cs="Times New Roman"/>
          <w:b/>
          <w:sz w:val="24"/>
          <w:szCs w:val="24"/>
        </w:rPr>
        <w:t>Intézményi és szolgáltatási szerződésekre vonatkozó pénzügyi feltételek, fizetési határidők</w:t>
      </w:r>
    </w:p>
    <w:p w14:paraId="588EA6DC" w14:textId="4238113D" w:rsidR="00F55D50" w:rsidRPr="002C06BA" w:rsidRDefault="00E3523B" w:rsidP="00822734">
      <w:pPr>
        <w:tabs>
          <w:tab w:val="left" w:pos="5149"/>
        </w:tabs>
        <w:jc w:val="both"/>
        <w:rPr>
          <w:rFonts w:ascii="Times New Roman" w:hAnsi="Times New Roman" w:cs="Times New Roman"/>
          <w:bCs/>
          <w:sz w:val="24"/>
          <w:szCs w:val="24"/>
        </w:rPr>
      </w:pPr>
      <w:r w:rsidRPr="002C06BA">
        <w:rPr>
          <w:rFonts w:ascii="Times New Roman" w:hAnsi="Times New Roman" w:cs="Times New Roman"/>
          <w:bCs/>
          <w:sz w:val="24"/>
          <w:szCs w:val="24"/>
        </w:rPr>
        <w:t>Tájékoztatjuk partnereinket, hogy</w:t>
      </w:r>
      <w:r w:rsidR="00A01A7D" w:rsidRPr="002C06BA">
        <w:rPr>
          <w:rFonts w:ascii="Times New Roman" w:hAnsi="Times New Roman" w:cs="Times New Roman"/>
          <w:bCs/>
          <w:sz w:val="24"/>
          <w:szCs w:val="24"/>
        </w:rPr>
        <w:t xml:space="preserve"> </w:t>
      </w:r>
      <w:r w:rsidRPr="002C06BA">
        <w:rPr>
          <w:rFonts w:ascii="Times New Roman" w:hAnsi="Times New Roman" w:cs="Times New Roman"/>
          <w:bCs/>
          <w:sz w:val="24"/>
          <w:szCs w:val="24"/>
        </w:rPr>
        <w:t>negyedévet meghaladó elszámolási periódust</w:t>
      </w:r>
      <w:r w:rsidR="0092367E" w:rsidRPr="002C06BA">
        <w:rPr>
          <w:rFonts w:ascii="Times New Roman" w:hAnsi="Times New Roman" w:cs="Times New Roman"/>
          <w:bCs/>
          <w:sz w:val="24"/>
          <w:szCs w:val="24"/>
        </w:rPr>
        <w:t xml:space="preserve"> és a</w:t>
      </w:r>
      <w:r w:rsidRPr="002C06BA">
        <w:rPr>
          <w:rFonts w:ascii="Times New Roman" w:hAnsi="Times New Roman" w:cs="Times New Roman"/>
          <w:bCs/>
          <w:sz w:val="24"/>
          <w:szCs w:val="24"/>
        </w:rPr>
        <w:t xml:space="preserve"> </w:t>
      </w:r>
      <w:r w:rsidR="0092367E" w:rsidRPr="002C06BA">
        <w:rPr>
          <w:rFonts w:ascii="Times New Roman" w:hAnsi="Times New Roman" w:cs="Times New Roman"/>
          <w:bCs/>
          <w:sz w:val="24"/>
          <w:szCs w:val="24"/>
        </w:rPr>
        <w:t>számlakiállítástól számított</w:t>
      </w:r>
      <w:r w:rsidR="006F0364" w:rsidRPr="002C06BA">
        <w:rPr>
          <w:rFonts w:ascii="Times New Roman" w:hAnsi="Times New Roman" w:cs="Times New Roman"/>
          <w:bCs/>
          <w:sz w:val="24"/>
          <w:szCs w:val="24"/>
        </w:rPr>
        <w:t xml:space="preserve"> 30, maximum</w:t>
      </w:r>
      <w:r w:rsidR="0092367E" w:rsidRPr="002C06BA">
        <w:rPr>
          <w:rFonts w:ascii="Times New Roman" w:hAnsi="Times New Roman" w:cs="Times New Roman"/>
          <w:bCs/>
          <w:sz w:val="24"/>
          <w:szCs w:val="24"/>
        </w:rPr>
        <w:t xml:space="preserve"> 45 napnál hosszabb fizetési határidőt </w:t>
      </w:r>
      <w:r w:rsidRPr="002C06BA">
        <w:rPr>
          <w:rFonts w:ascii="Times New Roman" w:hAnsi="Times New Roman" w:cs="Times New Roman"/>
          <w:bCs/>
          <w:sz w:val="24"/>
          <w:szCs w:val="24"/>
        </w:rPr>
        <w:t>nem áll módunkban elfogadni</w:t>
      </w:r>
      <w:r w:rsidR="00F55D50" w:rsidRPr="002C06BA">
        <w:rPr>
          <w:rFonts w:ascii="Times New Roman" w:hAnsi="Times New Roman" w:cs="Times New Roman"/>
          <w:bCs/>
          <w:sz w:val="24"/>
          <w:szCs w:val="24"/>
        </w:rPr>
        <w:t>.</w:t>
      </w:r>
    </w:p>
    <w:p w14:paraId="79F052AE" w14:textId="1A8C5DE8" w:rsidR="00202DE2" w:rsidRDefault="00202DE2">
      <w:pPr>
        <w:tabs>
          <w:tab w:val="left" w:pos="5149"/>
        </w:tabs>
        <w:jc w:val="both"/>
        <w:rPr>
          <w:rFonts w:ascii="Times New Roman" w:hAnsi="Times New Roman" w:cs="Times New Roman"/>
          <w:sz w:val="24"/>
          <w:szCs w:val="24"/>
        </w:rPr>
      </w:pPr>
      <w:r w:rsidRPr="002C06BA">
        <w:rPr>
          <w:rFonts w:ascii="Times New Roman" w:hAnsi="Times New Roman" w:cs="Times New Roman"/>
          <w:sz w:val="24"/>
          <w:szCs w:val="24"/>
        </w:rPr>
        <w:t xml:space="preserve">Módunkban áll </w:t>
      </w:r>
      <w:proofErr w:type="spellStart"/>
      <w:r w:rsidR="000C74B3" w:rsidRPr="002C06BA">
        <w:rPr>
          <w:rFonts w:ascii="Times New Roman" w:hAnsi="Times New Roman" w:cs="Times New Roman"/>
          <w:b/>
          <w:sz w:val="24"/>
          <w:szCs w:val="24"/>
        </w:rPr>
        <w:t>pdf-ként</w:t>
      </w:r>
      <w:proofErr w:type="spellEnd"/>
      <w:r w:rsidR="000C74B3" w:rsidRPr="002C06BA">
        <w:rPr>
          <w:rFonts w:ascii="Times New Roman" w:hAnsi="Times New Roman" w:cs="Times New Roman"/>
          <w:b/>
          <w:sz w:val="24"/>
          <w:szCs w:val="24"/>
        </w:rPr>
        <w:t xml:space="preserve"> mentett elektronikus számla</w:t>
      </w:r>
      <w:r w:rsidR="000C74B3" w:rsidRPr="002C06BA">
        <w:rPr>
          <w:rFonts w:ascii="Times New Roman" w:hAnsi="Times New Roman" w:cs="Times New Roman"/>
          <w:sz w:val="24"/>
          <w:szCs w:val="24"/>
        </w:rPr>
        <w:t xml:space="preserve"> kiállítására és a </w:t>
      </w:r>
      <w:r w:rsidR="000C74B3" w:rsidRPr="002C06BA">
        <w:rPr>
          <w:rFonts w:ascii="Times New Roman" w:hAnsi="Times New Roman" w:cs="Times New Roman"/>
          <w:b/>
          <w:sz w:val="24"/>
          <w:szCs w:val="24"/>
        </w:rPr>
        <w:t>kiállítás napján e-mailben történő megküldésére</w:t>
      </w:r>
      <w:r w:rsidR="0092367E" w:rsidRPr="002C06BA">
        <w:rPr>
          <w:rFonts w:ascii="Times New Roman" w:hAnsi="Times New Roman" w:cs="Times New Roman"/>
          <w:sz w:val="24"/>
          <w:szCs w:val="24"/>
        </w:rPr>
        <w:t xml:space="preserve"> a postai út helyett. </w:t>
      </w:r>
      <w:r w:rsidR="00F21322">
        <w:rPr>
          <w:rFonts w:ascii="Times New Roman" w:hAnsi="Times New Roman" w:cs="Times New Roman"/>
          <w:sz w:val="24"/>
          <w:szCs w:val="24"/>
        </w:rPr>
        <w:t xml:space="preserve">Elektronikus számla kiállítására akkor kerülhet sor, ha a Megbízó annak befogadásáról nyilatkozatot tesz. Nyilatkozat hiányában a számlák postai úton kerülnek megküldésre. </w:t>
      </w:r>
      <w:r w:rsidR="0092367E" w:rsidRPr="002C06BA">
        <w:rPr>
          <w:rFonts w:ascii="Times New Roman" w:hAnsi="Times New Roman" w:cs="Times New Roman"/>
          <w:sz w:val="24"/>
          <w:szCs w:val="24"/>
        </w:rPr>
        <w:t xml:space="preserve">Kérjük a szerződésben az emailcímet feltüntetni szíveskedjenek. </w:t>
      </w:r>
    </w:p>
    <w:p w14:paraId="5C69DE5A" w14:textId="1FC44493" w:rsidR="003E0B03" w:rsidRDefault="003E0B03" w:rsidP="003E0B03">
      <w:pPr>
        <w:tabs>
          <w:tab w:val="left" w:pos="5149"/>
        </w:tabs>
        <w:jc w:val="both"/>
        <w:rPr>
          <w:rFonts w:ascii="Times New Roman" w:hAnsi="Times New Roman" w:cs="Times New Roman"/>
          <w:sz w:val="24"/>
          <w:szCs w:val="24"/>
        </w:rPr>
      </w:pPr>
      <w:r>
        <w:rPr>
          <w:rFonts w:ascii="Times New Roman" w:hAnsi="Times New Roman" w:cs="Times New Roman"/>
          <w:sz w:val="24"/>
          <w:szCs w:val="24"/>
        </w:rPr>
        <w:t xml:space="preserve">Intézményi szerződéseknél </w:t>
      </w:r>
      <w:r w:rsidRPr="003E0B03">
        <w:rPr>
          <w:rFonts w:ascii="Times New Roman" w:hAnsi="Times New Roman" w:cs="Times New Roman"/>
          <w:b/>
          <w:bCs/>
          <w:sz w:val="24"/>
          <w:szCs w:val="24"/>
        </w:rPr>
        <w:t>pénzügyi kapcsolattartó</w:t>
      </w:r>
      <w:r>
        <w:rPr>
          <w:rFonts w:ascii="Times New Roman" w:hAnsi="Times New Roman" w:cs="Times New Roman"/>
          <w:sz w:val="24"/>
          <w:szCs w:val="24"/>
        </w:rPr>
        <w:t xml:space="preserve"> a számlázásokkal összefüggésben: </w:t>
      </w:r>
      <w:r w:rsidRPr="003E0B03">
        <w:rPr>
          <w:rFonts w:ascii="Times New Roman" w:hAnsi="Times New Roman" w:cs="Times New Roman"/>
          <w:b/>
          <w:bCs/>
          <w:sz w:val="24"/>
          <w:szCs w:val="24"/>
        </w:rPr>
        <w:t>Egészségügyi Hálózat-irányítási Igazgatóság.</w:t>
      </w:r>
    </w:p>
    <w:p w14:paraId="4F4AA725" w14:textId="43602A2D" w:rsidR="003E0B03" w:rsidRDefault="003E0B03" w:rsidP="00127ED0">
      <w:pPr>
        <w:tabs>
          <w:tab w:val="left" w:pos="514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Elérhetőségük: 1085. Budapest, Üllői út 26.</w:t>
      </w:r>
    </w:p>
    <w:p w14:paraId="5B3ED1A5" w14:textId="38F1AB5E" w:rsidR="00127ED0" w:rsidRDefault="00127ED0" w:rsidP="00127ED0">
      <w:pPr>
        <w:tabs>
          <w:tab w:val="left" w:pos="514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Telefonszám:</w:t>
      </w:r>
      <w:r w:rsidR="00F21322">
        <w:rPr>
          <w:rFonts w:ascii="Times New Roman" w:hAnsi="Times New Roman" w:cs="Times New Roman"/>
          <w:sz w:val="24"/>
          <w:szCs w:val="24"/>
        </w:rPr>
        <w:t xml:space="preserve"> Nándori Szilvia +36/20-825-9669</w:t>
      </w:r>
    </w:p>
    <w:p w14:paraId="080A1FF9" w14:textId="337D071C" w:rsidR="00127ED0" w:rsidRDefault="00127ED0" w:rsidP="00127ED0">
      <w:pPr>
        <w:tabs>
          <w:tab w:val="left" w:pos="514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emailcím: </w:t>
      </w:r>
      <w:hyperlink r:id="rId8" w:history="1">
        <w:r w:rsidR="00F21322" w:rsidRPr="00F21322">
          <w:rPr>
            <w:rStyle w:val="Hiperhivatkozs"/>
            <w:rFonts w:ascii="Times New Roman" w:hAnsi="Times New Roman" w:cs="Times New Roman"/>
            <w:sz w:val="24"/>
            <w:szCs w:val="24"/>
          </w:rPr>
          <w:t>kkgazdasagi@semmelweis.hu</w:t>
        </w:r>
      </w:hyperlink>
    </w:p>
    <w:p w14:paraId="2FCB00DE" w14:textId="77777777" w:rsidR="00127ED0" w:rsidRDefault="00127ED0" w:rsidP="00127ED0">
      <w:pPr>
        <w:tabs>
          <w:tab w:val="left" w:pos="5149"/>
        </w:tabs>
        <w:spacing w:after="0" w:line="240" w:lineRule="auto"/>
        <w:jc w:val="both"/>
        <w:rPr>
          <w:rFonts w:ascii="Times New Roman" w:hAnsi="Times New Roman" w:cs="Times New Roman"/>
          <w:sz w:val="24"/>
          <w:szCs w:val="24"/>
        </w:rPr>
      </w:pPr>
    </w:p>
    <w:p w14:paraId="5F1D6C89" w14:textId="23E2C3AA" w:rsidR="003E0B03" w:rsidRDefault="003E0B03" w:rsidP="00127ED0">
      <w:pPr>
        <w:tabs>
          <w:tab w:val="left" w:pos="514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Intézményi vizsgálati díjra vonatkozó teljesítésigazolásokat kérjük a </w:t>
      </w:r>
      <w:bookmarkStart w:id="0" w:name="_Hlk118652676"/>
      <w:r w:rsidR="008E39A9">
        <w:rPr>
          <w:rFonts w:ascii="Times New Roman" w:hAnsi="Times New Roman" w:cs="Times New Roman"/>
          <w:sz w:val="24"/>
          <w:szCs w:val="24"/>
        </w:rPr>
        <w:fldChar w:fldCharType="begin"/>
      </w:r>
      <w:r w:rsidR="008E39A9">
        <w:rPr>
          <w:rFonts w:ascii="Times New Roman" w:hAnsi="Times New Roman" w:cs="Times New Roman"/>
          <w:sz w:val="24"/>
          <w:szCs w:val="24"/>
        </w:rPr>
        <w:instrText xml:space="preserve"> HYPERLINK "mailto:</w:instrText>
      </w:r>
      <w:r w:rsidR="008E39A9" w:rsidRPr="001B5A2D">
        <w:instrText>kkgazdasagi@semmelweis.hu</w:instrText>
      </w:r>
      <w:r w:rsidR="008E39A9">
        <w:rPr>
          <w:rFonts w:ascii="Times New Roman" w:hAnsi="Times New Roman" w:cs="Times New Roman"/>
          <w:sz w:val="24"/>
          <w:szCs w:val="24"/>
        </w:rPr>
        <w:instrText xml:space="preserve">" </w:instrText>
      </w:r>
      <w:r w:rsidR="008E39A9">
        <w:rPr>
          <w:rFonts w:ascii="Times New Roman" w:hAnsi="Times New Roman" w:cs="Times New Roman"/>
          <w:sz w:val="24"/>
          <w:szCs w:val="24"/>
        </w:rPr>
      </w:r>
      <w:r w:rsidR="008E39A9">
        <w:rPr>
          <w:rFonts w:ascii="Times New Roman" w:hAnsi="Times New Roman" w:cs="Times New Roman"/>
          <w:sz w:val="24"/>
          <w:szCs w:val="24"/>
        </w:rPr>
        <w:fldChar w:fldCharType="separate"/>
      </w:r>
      <w:r w:rsidR="008E39A9" w:rsidRPr="008E39A9">
        <w:rPr>
          <w:rStyle w:val="Hiperhivatkozs"/>
          <w:rFonts w:ascii="Times New Roman" w:hAnsi="Times New Roman" w:cs="Times New Roman"/>
          <w:sz w:val="24"/>
          <w:szCs w:val="24"/>
        </w:rPr>
        <w:t>kkgazdasagi@semmelweis.hu</w:t>
      </w:r>
      <w:bookmarkEnd w:id="0"/>
      <w:r w:rsidR="008E39A9">
        <w:rPr>
          <w:rFonts w:ascii="Times New Roman" w:hAnsi="Times New Roman" w:cs="Times New Roman"/>
          <w:sz w:val="24"/>
          <w:szCs w:val="24"/>
        </w:rPr>
        <w:fldChar w:fldCharType="end"/>
      </w:r>
      <w:r>
        <w:rPr>
          <w:rFonts w:ascii="Times New Roman" w:hAnsi="Times New Roman" w:cs="Times New Roman"/>
          <w:sz w:val="24"/>
          <w:szCs w:val="24"/>
        </w:rPr>
        <w:t xml:space="preserve"> email címre megküldeni szíveskedjenek.</w:t>
      </w:r>
    </w:p>
    <w:p w14:paraId="73E082C7" w14:textId="57D0F799" w:rsidR="003E0B03" w:rsidRDefault="003E0B03" w:rsidP="003E0B03">
      <w:pPr>
        <w:tabs>
          <w:tab w:val="left" w:pos="5149"/>
        </w:tabs>
        <w:jc w:val="both"/>
        <w:rPr>
          <w:rFonts w:ascii="Times New Roman" w:hAnsi="Times New Roman" w:cs="Times New Roman"/>
          <w:sz w:val="24"/>
          <w:szCs w:val="24"/>
        </w:rPr>
      </w:pPr>
      <w:r>
        <w:rPr>
          <w:rFonts w:ascii="Times New Roman" w:hAnsi="Times New Roman" w:cs="Times New Roman"/>
          <w:sz w:val="24"/>
          <w:szCs w:val="24"/>
        </w:rPr>
        <w:t xml:space="preserve">A </w:t>
      </w:r>
      <w:r w:rsidRPr="003E0B03">
        <w:rPr>
          <w:rFonts w:ascii="Times New Roman" w:hAnsi="Times New Roman" w:cs="Times New Roman"/>
          <w:b/>
          <w:bCs/>
          <w:sz w:val="24"/>
          <w:szCs w:val="24"/>
        </w:rPr>
        <w:t>Szolgáltatási díjakra vonatkozó teljesítésigazolásokat</w:t>
      </w:r>
      <w:r>
        <w:rPr>
          <w:rFonts w:ascii="Times New Roman" w:hAnsi="Times New Roman" w:cs="Times New Roman"/>
          <w:sz w:val="24"/>
          <w:szCs w:val="24"/>
        </w:rPr>
        <w:t xml:space="preserve"> továbbra is a Szolgáltató szerződésben rögzített kapcsolattartójának email címére kell megküldeni.</w:t>
      </w:r>
    </w:p>
    <w:p w14:paraId="06B798FA" w14:textId="7E74D2D3" w:rsidR="00BC7986" w:rsidRDefault="00BC7986" w:rsidP="003E0B03">
      <w:pPr>
        <w:tabs>
          <w:tab w:val="left" w:pos="5149"/>
        </w:tabs>
        <w:jc w:val="both"/>
        <w:rPr>
          <w:rFonts w:ascii="Times New Roman" w:hAnsi="Times New Roman" w:cs="Times New Roman"/>
          <w:sz w:val="24"/>
          <w:szCs w:val="24"/>
        </w:rPr>
      </w:pPr>
    </w:p>
    <w:p w14:paraId="3F79C4D0" w14:textId="7C97B472" w:rsidR="00BC7986" w:rsidRDefault="00BC7986" w:rsidP="003E0B03">
      <w:pPr>
        <w:tabs>
          <w:tab w:val="left" w:pos="5149"/>
        </w:tabs>
        <w:jc w:val="both"/>
        <w:rPr>
          <w:rFonts w:ascii="Times New Roman" w:hAnsi="Times New Roman" w:cs="Times New Roman"/>
          <w:b/>
          <w:bCs/>
          <w:sz w:val="24"/>
          <w:szCs w:val="24"/>
        </w:rPr>
      </w:pPr>
      <w:r w:rsidRPr="001B5A2D">
        <w:rPr>
          <w:rFonts w:ascii="Times New Roman" w:hAnsi="Times New Roman" w:cs="Times New Roman"/>
          <w:b/>
          <w:bCs/>
          <w:sz w:val="24"/>
          <w:szCs w:val="24"/>
        </w:rPr>
        <w:t>Szerződéskötés pénzneme</w:t>
      </w:r>
    </w:p>
    <w:p w14:paraId="2E919DEE" w14:textId="50E7DAD7" w:rsidR="00BC7986" w:rsidRPr="00BC7986" w:rsidRDefault="00BC7986" w:rsidP="003E0B03">
      <w:pPr>
        <w:tabs>
          <w:tab w:val="left" w:pos="5149"/>
        </w:tabs>
        <w:jc w:val="both"/>
        <w:rPr>
          <w:rFonts w:ascii="Times New Roman" w:hAnsi="Times New Roman" w:cs="Times New Roman"/>
          <w:sz w:val="24"/>
          <w:szCs w:val="24"/>
        </w:rPr>
      </w:pPr>
      <w:r>
        <w:rPr>
          <w:rFonts w:ascii="Times New Roman" w:hAnsi="Times New Roman" w:cs="Times New Roman"/>
          <w:sz w:val="24"/>
          <w:szCs w:val="24"/>
        </w:rPr>
        <w:t xml:space="preserve">Szerződés köthető forintban, devizában és lehetőség van devizalapú forintszerződés kötésére is. Utóbbi esetében a megkötés napján érvényes MNB által közzétett árfolyamot szükséges a szerződésben rögzíteni.  </w:t>
      </w:r>
    </w:p>
    <w:p w14:paraId="5999371E" w14:textId="77777777" w:rsidR="00822734" w:rsidRPr="002C06BA" w:rsidRDefault="00822734" w:rsidP="00822734">
      <w:pPr>
        <w:tabs>
          <w:tab w:val="left" w:pos="5149"/>
        </w:tabs>
        <w:jc w:val="both"/>
        <w:rPr>
          <w:rFonts w:ascii="Times New Roman" w:hAnsi="Times New Roman" w:cs="Times New Roman"/>
          <w:b/>
          <w:sz w:val="24"/>
          <w:szCs w:val="24"/>
        </w:rPr>
      </w:pPr>
    </w:p>
    <w:p w14:paraId="1D60AA60" w14:textId="42294C93" w:rsidR="00822734" w:rsidRPr="002C06BA" w:rsidRDefault="00822734" w:rsidP="00822734">
      <w:pPr>
        <w:tabs>
          <w:tab w:val="left" w:pos="5149"/>
        </w:tabs>
        <w:jc w:val="both"/>
        <w:rPr>
          <w:rFonts w:ascii="Times New Roman" w:hAnsi="Times New Roman" w:cs="Times New Roman"/>
          <w:b/>
          <w:sz w:val="24"/>
          <w:szCs w:val="24"/>
        </w:rPr>
      </w:pPr>
      <w:r w:rsidRPr="00822734">
        <w:rPr>
          <w:rFonts w:ascii="Times New Roman" w:hAnsi="Times New Roman" w:cs="Times New Roman"/>
          <w:b/>
          <w:sz w:val="24"/>
          <w:szCs w:val="24"/>
        </w:rPr>
        <w:t>Indexálás</w:t>
      </w:r>
    </w:p>
    <w:p w14:paraId="456B76F3" w14:textId="20AAD7B9" w:rsidR="0091379A" w:rsidRPr="002C06BA" w:rsidRDefault="0091379A" w:rsidP="00822734">
      <w:pPr>
        <w:tabs>
          <w:tab w:val="left" w:pos="5149"/>
        </w:tabs>
        <w:jc w:val="both"/>
        <w:rPr>
          <w:rFonts w:ascii="Times New Roman" w:hAnsi="Times New Roman" w:cs="Times New Roman"/>
          <w:bCs/>
          <w:sz w:val="24"/>
          <w:szCs w:val="24"/>
        </w:rPr>
      </w:pPr>
      <w:r w:rsidRPr="002C06BA">
        <w:rPr>
          <w:rFonts w:ascii="Times New Roman" w:hAnsi="Times New Roman" w:cs="Times New Roman"/>
          <w:bCs/>
          <w:sz w:val="24"/>
          <w:szCs w:val="24"/>
        </w:rPr>
        <w:t>A Semmelweis Egyetem az éven túli szerződések esetében biztosítani kívánja a szerződésben foglalt vizsgálói díjak értékállóságát.</w:t>
      </w:r>
    </w:p>
    <w:p w14:paraId="7FB4160C" w14:textId="77777777" w:rsidR="00437C60" w:rsidRPr="002C06BA" w:rsidRDefault="00437C60" w:rsidP="00822734">
      <w:pPr>
        <w:tabs>
          <w:tab w:val="left" w:pos="5149"/>
        </w:tabs>
        <w:jc w:val="both"/>
        <w:rPr>
          <w:rFonts w:ascii="Times New Roman" w:hAnsi="Times New Roman" w:cs="Times New Roman"/>
          <w:b/>
          <w:sz w:val="24"/>
          <w:szCs w:val="24"/>
        </w:rPr>
      </w:pPr>
      <w:r w:rsidRPr="002C06BA">
        <w:rPr>
          <w:rFonts w:ascii="Times New Roman" w:hAnsi="Times New Roman" w:cs="Times New Roman"/>
          <w:b/>
          <w:sz w:val="24"/>
          <w:szCs w:val="24"/>
        </w:rPr>
        <w:lastRenderedPageBreak/>
        <w:t xml:space="preserve">Formája (opcionális): </w:t>
      </w:r>
    </w:p>
    <w:p w14:paraId="41904896" w14:textId="7D8594C7" w:rsidR="00437C60" w:rsidRPr="002C06BA" w:rsidRDefault="00437C60" w:rsidP="00822734">
      <w:pPr>
        <w:tabs>
          <w:tab w:val="left" w:pos="5149"/>
        </w:tabs>
        <w:jc w:val="both"/>
        <w:rPr>
          <w:rFonts w:ascii="Times New Roman" w:hAnsi="Times New Roman" w:cs="Times New Roman"/>
          <w:bCs/>
          <w:sz w:val="24"/>
          <w:szCs w:val="24"/>
        </w:rPr>
      </w:pPr>
      <w:r w:rsidRPr="002C06BA">
        <w:rPr>
          <w:rFonts w:ascii="Times New Roman" w:hAnsi="Times New Roman" w:cs="Times New Roman"/>
          <w:bCs/>
          <w:sz w:val="24"/>
          <w:szCs w:val="24"/>
        </w:rPr>
        <w:t xml:space="preserve">Évente, </w:t>
      </w:r>
      <w:r w:rsidRPr="002C06BA">
        <w:rPr>
          <w:rFonts w:ascii="Times New Roman" w:hAnsi="Times New Roman" w:cs="Times New Roman"/>
          <w:b/>
          <w:sz w:val="24"/>
          <w:szCs w:val="24"/>
        </w:rPr>
        <w:t>előremenő</w:t>
      </w:r>
      <w:r w:rsidRPr="002C06BA">
        <w:rPr>
          <w:rFonts w:ascii="Times New Roman" w:hAnsi="Times New Roman" w:cs="Times New Roman"/>
          <w:bCs/>
          <w:sz w:val="24"/>
          <w:szCs w:val="24"/>
        </w:rPr>
        <w:t xml:space="preserve"> indexálás keretében: a tárgyévre vonatkozó vizsgálati díjak tárgyévet megelőző évre közzétett hivatalos árindexnek megfelelő növelése az év első napjától kezdődően (indexálás a devizanemnek megfelelő fogyasztói árindexszel). </w:t>
      </w:r>
    </w:p>
    <w:p w14:paraId="79DF0ED2" w14:textId="0F862CFB" w:rsidR="00D521A9" w:rsidRPr="002C06BA" w:rsidRDefault="00437C60" w:rsidP="00822734">
      <w:pPr>
        <w:tabs>
          <w:tab w:val="left" w:pos="5149"/>
        </w:tabs>
        <w:jc w:val="both"/>
        <w:rPr>
          <w:rFonts w:ascii="Times New Roman" w:hAnsi="Times New Roman" w:cs="Times New Roman"/>
          <w:bCs/>
          <w:sz w:val="24"/>
          <w:szCs w:val="24"/>
        </w:rPr>
      </w:pPr>
      <w:r w:rsidRPr="002C06BA">
        <w:rPr>
          <w:rFonts w:ascii="Times New Roman" w:hAnsi="Times New Roman" w:cs="Times New Roman"/>
          <w:bCs/>
          <w:sz w:val="24"/>
          <w:szCs w:val="24"/>
        </w:rPr>
        <w:t xml:space="preserve">Évente, </w:t>
      </w:r>
      <w:r w:rsidRPr="002C06BA">
        <w:rPr>
          <w:rFonts w:ascii="Times New Roman" w:hAnsi="Times New Roman" w:cs="Times New Roman"/>
          <w:b/>
          <w:sz w:val="24"/>
          <w:szCs w:val="24"/>
        </w:rPr>
        <w:t>utólagos</w:t>
      </w:r>
      <w:r w:rsidRPr="002C06BA">
        <w:rPr>
          <w:rFonts w:ascii="Times New Roman" w:hAnsi="Times New Roman" w:cs="Times New Roman"/>
          <w:bCs/>
          <w:sz w:val="24"/>
          <w:szCs w:val="24"/>
        </w:rPr>
        <w:t xml:space="preserve"> elszámolás keretében: a tárgyév végén a tárgyévben realizált árbevétel alapján számolt – tárgyévre közzétett hivatalos árindexnek megfelelő – egyszeri díjtétel kiszámlázásával.</w:t>
      </w:r>
    </w:p>
    <w:p w14:paraId="02F254F5" w14:textId="77777777" w:rsidR="00A1146D" w:rsidRPr="002C06BA" w:rsidRDefault="00A1146D" w:rsidP="00AD0480">
      <w:pPr>
        <w:tabs>
          <w:tab w:val="left" w:pos="5149"/>
        </w:tabs>
        <w:spacing w:after="0" w:line="240" w:lineRule="auto"/>
        <w:jc w:val="both"/>
        <w:rPr>
          <w:rFonts w:ascii="Times New Roman" w:hAnsi="Times New Roman" w:cs="Times New Roman"/>
          <w:bCs/>
          <w:sz w:val="24"/>
          <w:szCs w:val="24"/>
        </w:rPr>
      </w:pPr>
      <w:r w:rsidRPr="002C06BA">
        <w:rPr>
          <w:rFonts w:ascii="Times New Roman" w:hAnsi="Times New Roman" w:cs="Times New Roman"/>
          <w:b/>
          <w:sz w:val="24"/>
          <w:szCs w:val="24"/>
        </w:rPr>
        <w:t>Hatálya kiterjed:</w:t>
      </w:r>
      <w:r w:rsidRPr="002C06BA">
        <w:rPr>
          <w:rFonts w:ascii="Times New Roman" w:hAnsi="Times New Roman" w:cs="Times New Roman"/>
          <w:bCs/>
          <w:sz w:val="24"/>
          <w:szCs w:val="24"/>
        </w:rPr>
        <w:t xml:space="preserve"> </w:t>
      </w:r>
    </w:p>
    <w:p w14:paraId="16AB436F" w14:textId="77777777" w:rsidR="00A1146D" w:rsidRPr="002C06BA" w:rsidRDefault="00A1146D" w:rsidP="00AD0480">
      <w:pPr>
        <w:tabs>
          <w:tab w:val="left" w:pos="5149"/>
        </w:tabs>
        <w:spacing w:after="0" w:line="240" w:lineRule="auto"/>
        <w:jc w:val="both"/>
        <w:rPr>
          <w:rFonts w:ascii="Times New Roman" w:hAnsi="Times New Roman" w:cs="Times New Roman"/>
          <w:bCs/>
          <w:sz w:val="24"/>
          <w:szCs w:val="24"/>
        </w:rPr>
      </w:pPr>
      <w:r w:rsidRPr="002C06BA">
        <w:rPr>
          <w:rFonts w:ascii="Times New Roman" w:hAnsi="Times New Roman" w:cs="Times New Roman"/>
          <w:bCs/>
          <w:sz w:val="24"/>
          <w:szCs w:val="24"/>
        </w:rPr>
        <w:t xml:space="preserve">• Valamennyi a Semmelweis Egyetemmel megkötött és hatályban lévő, valamint a megkötendő szerződés vizsgálati díjaira, </w:t>
      </w:r>
    </w:p>
    <w:p w14:paraId="0823D460" w14:textId="77777777" w:rsidR="00A1146D" w:rsidRPr="002C06BA" w:rsidRDefault="00A1146D" w:rsidP="00AD0480">
      <w:pPr>
        <w:tabs>
          <w:tab w:val="left" w:pos="5149"/>
        </w:tabs>
        <w:spacing w:after="0" w:line="240" w:lineRule="auto"/>
        <w:jc w:val="both"/>
        <w:rPr>
          <w:rFonts w:ascii="Times New Roman" w:hAnsi="Times New Roman" w:cs="Times New Roman"/>
          <w:bCs/>
          <w:sz w:val="24"/>
          <w:szCs w:val="24"/>
        </w:rPr>
      </w:pPr>
      <w:r w:rsidRPr="002C06BA">
        <w:rPr>
          <w:rFonts w:ascii="Times New Roman" w:hAnsi="Times New Roman" w:cs="Times New Roman"/>
          <w:bCs/>
          <w:sz w:val="24"/>
          <w:szCs w:val="24"/>
        </w:rPr>
        <w:t xml:space="preserve">• devizanemtől függetlenül: HUF-ban, EUR-ban és USD-ben megkötött szerződésekre egyaránt. </w:t>
      </w:r>
    </w:p>
    <w:p w14:paraId="1D87F409" w14:textId="77777777" w:rsidR="00AD0480" w:rsidRDefault="00AD0480" w:rsidP="00AD0480">
      <w:pPr>
        <w:tabs>
          <w:tab w:val="left" w:pos="5149"/>
        </w:tabs>
        <w:spacing w:after="0" w:line="240" w:lineRule="auto"/>
        <w:jc w:val="both"/>
        <w:rPr>
          <w:rFonts w:ascii="Times New Roman" w:hAnsi="Times New Roman" w:cs="Times New Roman"/>
          <w:b/>
          <w:sz w:val="24"/>
          <w:szCs w:val="24"/>
        </w:rPr>
      </w:pPr>
    </w:p>
    <w:p w14:paraId="7BBB4D4C" w14:textId="46B4B4C6" w:rsidR="00A1146D" w:rsidRPr="002C06BA" w:rsidRDefault="00A1146D" w:rsidP="00AD0480">
      <w:pPr>
        <w:tabs>
          <w:tab w:val="left" w:pos="5149"/>
        </w:tabs>
        <w:spacing w:after="0" w:line="240" w:lineRule="auto"/>
        <w:jc w:val="both"/>
        <w:rPr>
          <w:rFonts w:ascii="Times New Roman" w:hAnsi="Times New Roman" w:cs="Times New Roman"/>
          <w:bCs/>
          <w:sz w:val="24"/>
          <w:szCs w:val="24"/>
        </w:rPr>
      </w:pPr>
      <w:r w:rsidRPr="002C06BA">
        <w:rPr>
          <w:rFonts w:ascii="Times New Roman" w:hAnsi="Times New Roman" w:cs="Times New Roman"/>
          <w:b/>
          <w:sz w:val="24"/>
          <w:szCs w:val="24"/>
        </w:rPr>
        <w:t>Alapja:</w:t>
      </w:r>
      <w:r w:rsidRPr="002C06BA">
        <w:rPr>
          <w:rFonts w:ascii="Times New Roman" w:hAnsi="Times New Roman" w:cs="Times New Roman"/>
          <w:bCs/>
          <w:sz w:val="24"/>
          <w:szCs w:val="24"/>
        </w:rPr>
        <w:t xml:space="preserve"> </w:t>
      </w:r>
    </w:p>
    <w:p w14:paraId="7115BB27" w14:textId="77777777" w:rsidR="00A1146D" w:rsidRPr="002C06BA" w:rsidRDefault="00A1146D" w:rsidP="00AD0480">
      <w:pPr>
        <w:tabs>
          <w:tab w:val="left" w:pos="5149"/>
        </w:tabs>
        <w:spacing w:after="0" w:line="240" w:lineRule="auto"/>
        <w:jc w:val="both"/>
        <w:rPr>
          <w:rFonts w:ascii="Times New Roman" w:hAnsi="Times New Roman" w:cs="Times New Roman"/>
          <w:bCs/>
          <w:sz w:val="24"/>
          <w:szCs w:val="24"/>
        </w:rPr>
      </w:pPr>
      <w:r w:rsidRPr="002C06BA">
        <w:rPr>
          <w:rFonts w:ascii="Times New Roman" w:hAnsi="Times New Roman" w:cs="Times New Roman"/>
          <w:bCs/>
          <w:sz w:val="24"/>
          <w:szCs w:val="24"/>
        </w:rPr>
        <w:t>• Indexálás esetén: valamennyi a szerződésben rögzített vizsgálati díjtételre egyedileg (kivéve: a szerződéskötéshez kapcsolódó egyszeri díjak)</w:t>
      </w:r>
    </w:p>
    <w:p w14:paraId="340F5D85" w14:textId="77777777" w:rsidR="00A1146D" w:rsidRPr="002C06BA" w:rsidRDefault="00A1146D" w:rsidP="00AD0480">
      <w:pPr>
        <w:tabs>
          <w:tab w:val="left" w:pos="5149"/>
        </w:tabs>
        <w:spacing w:after="0" w:line="240" w:lineRule="auto"/>
        <w:jc w:val="both"/>
        <w:rPr>
          <w:rFonts w:ascii="Times New Roman" w:hAnsi="Times New Roman" w:cs="Times New Roman"/>
          <w:bCs/>
          <w:sz w:val="24"/>
          <w:szCs w:val="24"/>
        </w:rPr>
      </w:pPr>
      <w:r w:rsidRPr="002C06BA">
        <w:rPr>
          <w:rFonts w:ascii="Times New Roman" w:hAnsi="Times New Roman" w:cs="Times New Roman"/>
          <w:bCs/>
          <w:sz w:val="24"/>
          <w:szCs w:val="24"/>
        </w:rPr>
        <w:t xml:space="preserve">• Utólagos korrekció esetén: a kutatási szerződés teljesítéséből származó tárgyévi árbevétel </w:t>
      </w:r>
    </w:p>
    <w:p w14:paraId="31400B16" w14:textId="77777777" w:rsidR="00AD0480" w:rsidRDefault="00AD0480" w:rsidP="00AD0480">
      <w:pPr>
        <w:tabs>
          <w:tab w:val="left" w:pos="5149"/>
        </w:tabs>
        <w:spacing w:after="0" w:line="240" w:lineRule="auto"/>
        <w:jc w:val="both"/>
        <w:rPr>
          <w:rFonts w:ascii="Times New Roman" w:hAnsi="Times New Roman" w:cs="Times New Roman"/>
          <w:b/>
          <w:sz w:val="24"/>
          <w:szCs w:val="24"/>
        </w:rPr>
      </w:pPr>
    </w:p>
    <w:p w14:paraId="50F0FBCA" w14:textId="205D2ACF" w:rsidR="00A1146D" w:rsidRPr="002C06BA" w:rsidRDefault="00A1146D" w:rsidP="00AD0480">
      <w:pPr>
        <w:tabs>
          <w:tab w:val="left" w:pos="5149"/>
        </w:tabs>
        <w:spacing w:after="0" w:line="240" w:lineRule="auto"/>
        <w:jc w:val="both"/>
        <w:rPr>
          <w:rFonts w:ascii="Times New Roman" w:hAnsi="Times New Roman" w:cs="Times New Roman"/>
          <w:bCs/>
          <w:sz w:val="24"/>
          <w:szCs w:val="24"/>
        </w:rPr>
      </w:pPr>
      <w:r w:rsidRPr="002C06BA">
        <w:rPr>
          <w:rFonts w:ascii="Times New Roman" w:hAnsi="Times New Roman" w:cs="Times New Roman"/>
          <w:b/>
          <w:sz w:val="24"/>
          <w:szCs w:val="24"/>
        </w:rPr>
        <w:t xml:space="preserve">Mértéke </w:t>
      </w:r>
      <w:r w:rsidRPr="002C06BA">
        <w:rPr>
          <w:rFonts w:ascii="Times New Roman" w:hAnsi="Times New Roman" w:cs="Times New Roman"/>
          <w:bCs/>
          <w:sz w:val="24"/>
          <w:szCs w:val="24"/>
        </w:rPr>
        <w:t>megfelel (indexálás és utólagos korrekció esetén egyaránt):</w:t>
      </w:r>
    </w:p>
    <w:p w14:paraId="7522833B" w14:textId="77777777" w:rsidR="00A1146D" w:rsidRPr="002C06BA" w:rsidRDefault="00A1146D" w:rsidP="00AD0480">
      <w:pPr>
        <w:tabs>
          <w:tab w:val="left" w:pos="5149"/>
        </w:tabs>
        <w:spacing w:after="0" w:line="240" w:lineRule="auto"/>
        <w:jc w:val="both"/>
        <w:rPr>
          <w:rFonts w:ascii="Times New Roman" w:hAnsi="Times New Roman" w:cs="Times New Roman"/>
          <w:bCs/>
          <w:sz w:val="24"/>
          <w:szCs w:val="24"/>
        </w:rPr>
      </w:pPr>
      <w:r w:rsidRPr="002C06BA">
        <w:rPr>
          <w:rFonts w:ascii="Times New Roman" w:hAnsi="Times New Roman" w:cs="Times New Roman"/>
          <w:bCs/>
          <w:sz w:val="24"/>
          <w:szCs w:val="24"/>
        </w:rPr>
        <w:t>• HUF-ban kikötött vizsgálati díjaknál: KSH fogyasztóiár-index</w:t>
      </w:r>
    </w:p>
    <w:p w14:paraId="6C7BD330" w14:textId="77777777" w:rsidR="00A1146D" w:rsidRPr="002C06BA" w:rsidRDefault="00A1146D" w:rsidP="00AD0480">
      <w:pPr>
        <w:tabs>
          <w:tab w:val="left" w:pos="5149"/>
        </w:tabs>
        <w:spacing w:after="0" w:line="240" w:lineRule="auto"/>
        <w:jc w:val="both"/>
        <w:rPr>
          <w:rFonts w:ascii="Times New Roman" w:hAnsi="Times New Roman" w:cs="Times New Roman"/>
          <w:bCs/>
          <w:sz w:val="24"/>
          <w:szCs w:val="24"/>
        </w:rPr>
      </w:pPr>
      <w:r w:rsidRPr="002C06BA">
        <w:rPr>
          <w:rFonts w:ascii="Times New Roman" w:hAnsi="Times New Roman" w:cs="Times New Roman"/>
          <w:bCs/>
          <w:sz w:val="24"/>
          <w:szCs w:val="24"/>
        </w:rPr>
        <w:t xml:space="preserve">• EUR-ban kikötött vizsgálati díjaknál: </w:t>
      </w:r>
      <w:bookmarkStart w:id="1" w:name="_Hlk118657578"/>
      <w:r w:rsidRPr="002C06BA">
        <w:rPr>
          <w:rFonts w:ascii="Times New Roman" w:hAnsi="Times New Roman" w:cs="Times New Roman"/>
          <w:bCs/>
          <w:sz w:val="24"/>
          <w:szCs w:val="24"/>
        </w:rPr>
        <w:t xml:space="preserve">EUROSTAT harmonizált fogyasztóiár-index (HICP) </w:t>
      </w:r>
      <w:bookmarkEnd w:id="1"/>
    </w:p>
    <w:p w14:paraId="414B440F" w14:textId="29785DF8" w:rsidR="00587D4F" w:rsidRPr="002C06BA" w:rsidRDefault="00A1146D" w:rsidP="00AD0480">
      <w:pPr>
        <w:tabs>
          <w:tab w:val="left" w:pos="5149"/>
        </w:tabs>
        <w:spacing w:after="0" w:line="240" w:lineRule="auto"/>
        <w:jc w:val="both"/>
        <w:rPr>
          <w:rFonts w:ascii="Times New Roman" w:hAnsi="Times New Roman" w:cs="Times New Roman"/>
          <w:bCs/>
          <w:sz w:val="24"/>
          <w:szCs w:val="24"/>
        </w:rPr>
      </w:pPr>
      <w:r w:rsidRPr="002C06BA">
        <w:rPr>
          <w:rFonts w:ascii="Times New Roman" w:hAnsi="Times New Roman" w:cs="Times New Roman"/>
          <w:bCs/>
          <w:sz w:val="24"/>
          <w:szCs w:val="24"/>
        </w:rPr>
        <w:t xml:space="preserve">• USD-ben kikötött vizsgálati díjak esetén: U.S. </w:t>
      </w:r>
      <w:proofErr w:type="spellStart"/>
      <w:r w:rsidRPr="002C06BA">
        <w:rPr>
          <w:rFonts w:ascii="Times New Roman" w:hAnsi="Times New Roman" w:cs="Times New Roman"/>
          <w:bCs/>
          <w:sz w:val="24"/>
          <w:szCs w:val="24"/>
        </w:rPr>
        <w:t>Bureau</w:t>
      </w:r>
      <w:proofErr w:type="spellEnd"/>
      <w:r w:rsidRPr="002C06BA">
        <w:rPr>
          <w:rFonts w:ascii="Times New Roman" w:hAnsi="Times New Roman" w:cs="Times New Roman"/>
          <w:bCs/>
          <w:sz w:val="24"/>
          <w:szCs w:val="24"/>
        </w:rPr>
        <w:t xml:space="preserve"> of Labor </w:t>
      </w:r>
      <w:proofErr w:type="spellStart"/>
      <w:r w:rsidRPr="002C06BA">
        <w:rPr>
          <w:rFonts w:ascii="Times New Roman" w:hAnsi="Times New Roman" w:cs="Times New Roman"/>
          <w:bCs/>
          <w:sz w:val="24"/>
          <w:szCs w:val="24"/>
        </w:rPr>
        <w:t>Statistics</w:t>
      </w:r>
      <w:proofErr w:type="spellEnd"/>
      <w:r w:rsidRPr="002C06BA">
        <w:rPr>
          <w:rFonts w:ascii="Times New Roman" w:hAnsi="Times New Roman" w:cs="Times New Roman"/>
          <w:bCs/>
          <w:sz w:val="24"/>
          <w:szCs w:val="24"/>
        </w:rPr>
        <w:t xml:space="preserve"> fogyasztóiár-index (CPI) mértékének</w:t>
      </w:r>
    </w:p>
    <w:p w14:paraId="36820F4F" w14:textId="77777777" w:rsidR="00F75358" w:rsidRDefault="00F75358" w:rsidP="00822734">
      <w:pPr>
        <w:tabs>
          <w:tab w:val="left" w:pos="5149"/>
        </w:tabs>
        <w:jc w:val="both"/>
        <w:rPr>
          <w:rFonts w:ascii="Times New Roman" w:hAnsi="Times New Roman" w:cs="Times New Roman"/>
          <w:bCs/>
          <w:sz w:val="24"/>
          <w:szCs w:val="24"/>
        </w:rPr>
      </w:pPr>
      <w:bookmarkStart w:id="2" w:name="_Hlk118650707"/>
    </w:p>
    <w:p w14:paraId="48AC9790" w14:textId="369221BE" w:rsidR="00E57134" w:rsidRPr="00F75358" w:rsidRDefault="00587D4F" w:rsidP="00822734">
      <w:pPr>
        <w:tabs>
          <w:tab w:val="left" w:pos="5149"/>
        </w:tabs>
        <w:jc w:val="both"/>
        <w:rPr>
          <w:rFonts w:ascii="Times New Roman" w:hAnsi="Times New Roman" w:cs="Times New Roman"/>
          <w:bCs/>
          <w:sz w:val="24"/>
          <w:szCs w:val="24"/>
        </w:rPr>
      </w:pPr>
      <w:r w:rsidRPr="002C06BA">
        <w:rPr>
          <w:rFonts w:ascii="Times New Roman" w:hAnsi="Times New Roman" w:cs="Times New Roman"/>
          <w:bCs/>
          <w:sz w:val="24"/>
          <w:szCs w:val="24"/>
        </w:rPr>
        <w:t xml:space="preserve">Indexálásra vonatkozó javasolt szerződésszövegezés </w:t>
      </w:r>
      <w:r w:rsidRPr="002C06BA">
        <w:rPr>
          <w:rFonts w:ascii="Times New Roman" w:hAnsi="Times New Roman" w:cs="Times New Roman"/>
          <w:b/>
          <w:sz w:val="24"/>
          <w:szCs w:val="24"/>
        </w:rPr>
        <w:t>Forintalapú szerződéseknél</w:t>
      </w:r>
      <w:r w:rsidRPr="002C06BA">
        <w:rPr>
          <w:rFonts w:ascii="Times New Roman" w:hAnsi="Times New Roman" w:cs="Times New Roman"/>
          <w:bCs/>
          <w:sz w:val="24"/>
          <w:szCs w:val="24"/>
        </w:rPr>
        <w:t>: (előzetes és utólagos</w:t>
      </w:r>
      <w:r w:rsidR="00AC5FDD" w:rsidRPr="002C06BA">
        <w:rPr>
          <w:rFonts w:ascii="Times New Roman" w:hAnsi="Times New Roman" w:cs="Times New Roman"/>
          <w:bCs/>
          <w:sz w:val="24"/>
          <w:szCs w:val="24"/>
        </w:rPr>
        <w:t xml:space="preserve"> formában)</w:t>
      </w:r>
      <w:r w:rsidRPr="002C06BA">
        <w:rPr>
          <w:rFonts w:ascii="Times New Roman" w:hAnsi="Times New Roman" w:cs="Times New Roman"/>
          <w:bCs/>
          <w:sz w:val="24"/>
          <w:szCs w:val="24"/>
        </w:rPr>
        <w:t xml:space="preserve"> </w:t>
      </w:r>
      <w:bookmarkEnd w:id="2"/>
    </w:p>
    <w:p w14:paraId="378167DB" w14:textId="5543FA42" w:rsidR="00E57134" w:rsidRPr="002C06BA" w:rsidRDefault="00E57134" w:rsidP="00822734">
      <w:pPr>
        <w:tabs>
          <w:tab w:val="left" w:pos="5149"/>
        </w:tabs>
        <w:jc w:val="both"/>
        <w:rPr>
          <w:rFonts w:ascii="Times New Roman" w:hAnsi="Times New Roman" w:cs="Times New Roman"/>
          <w:b/>
          <w:sz w:val="24"/>
          <w:szCs w:val="24"/>
        </w:rPr>
      </w:pPr>
      <w:r w:rsidRPr="002C06BA">
        <w:rPr>
          <w:rFonts w:ascii="Times New Roman" w:hAnsi="Times New Roman" w:cs="Times New Roman"/>
          <w:b/>
          <w:sz w:val="24"/>
          <w:szCs w:val="24"/>
        </w:rPr>
        <w:t>Előzetes:</w:t>
      </w:r>
    </w:p>
    <w:p w14:paraId="39CE0C50" w14:textId="4941DF95" w:rsidR="00E57134" w:rsidRPr="001B5A2D" w:rsidRDefault="00EC2816" w:rsidP="00822734">
      <w:pPr>
        <w:tabs>
          <w:tab w:val="left" w:pos="5149"/>
        </w:tabs>
        <w:jc w:val="both"/>
        <w:rPr>
          <w:rFonts w:ascii="Times New Roman" w:hAnsi="Times New Roman" w:cs="Times New Roman"/>
          <w:bCs/>
          <w:sz w:val="24"/>
          <w:szCs w:val="24"/>
        </w:rPr>
      </w:pPr>
      <w:r w:rsidRPr="001B5A2D">
        <w:rPr>
          <w:rFonts w:ascii="Times New Roman" w:hAnsi="Times New Roman" w:cs="Times New Roman"/>
          <w:bCs/>
          <w:sz w:val="24"/>
          <w:szCs w:val="24"/>
        </w:rPr>
        <w:t xml:space="preserve">A szerződő Felek megállapodnak abban, hogy a szerződés értékállóságának biztosítása érdekében </w:t>
      </w:r>
      <w:r w:rsidR="00CD176F" w:rsidRPr="001B5A2D">
        <w:rPr>
          <w:rFonts w:ascii="Times New Roman" w:hAnsi="Times New Roman" w:cs="Times New Roman"/>
          <w:bCs/>
          <w:sz w:val="24"/>
          <w:szCs w:val="24"/>
        </w:rPr>
        <w:t>a</w:t>
      </w:r>
      <w:r w:rsidRPr="001B5A2D">
        <w:rPr>
          <w:rFonts w:ascii="Times New Roman" w:hAnsi="Times New Roman" w:cs="Times New Roman"/>
          <w:bCs/>
          <w:sz w:val="24"/>
          <w:szCs w:val="24"/>
        </w:rPr>
        <w:t xml:space="preserve"> </w:t>
      </w:r>
      <w:r w:rsidR="003874F6" w:rsidRPr="001B5A2D">
        <w:rPr>
          <w:rFonts w:ascii="Times New Roman" w:hAnsi="Times New Roman" w:cs="Times New Roman"/>
          <w:bCs/>
          <w:sz w:val="24"/>
          <w:szCs w:val="24"/>
        </w:rPr>
        <w:t>M</w:t>
      </w:r>
      <w:r w:rsidRPr="001B5A2D">
        <w:rPr>
          <w:rFonts w:ascii="Times New Roman" w:hAnsi="Times New Roman" w:cs="Times New Roman"/>
          <w:bCs/>
          <w:sz w:val="24"/>
          <w:szCs w:val="24"/>
        </w:rPr>
        <w:t xml:space="preserve">egbízott jogosult minden évben a vizsgálati díj összegét felülvizsgálni, és azt a KSH által közzétett </w:t>
      </w:r>
      <w:r w:rsidR="00CD176F" w:rsidRPr="001B5A2D">
        <w:rPr>
          <w:rFonts w:ascii="Times New Roman" w:hAnsi="Times New Roman" w:cs="Times New Roman"/>
          <w:bCs/>
          <w:sz w:val="24"/>
          <w:szCs w:val="24"/>
        </w:rPr>
        <w:t xml:space="preserve">a tárgyévet megelőző évi </w:t>
      </w:r>
      <w:r w:rsidRPr="001B5A2D">
        <w:rPr>
          <w:rFonts w:ascii="Times New Roman" w:hAnsi="Times New Roman" w:cs="Times New Roman"/>
          <w:bCs/>
          <w:sz w:val="24"/>
          <w:szCs w:val="24"/>
        </w:rPr>
        <w:t>fogyasztói árindex (infláció) mértékével egyező mértékben egyoldalúan, a tárgyév január 1. napjára visszamenőleges hatállyal megemelni</w:t>
      </w:r>
      <w:r w:rsidR="00CD176F" w:rsidRPr="001B5A2D">
        <w:rPr>
          <w:rFonts w:ascii="Times New Roman" w:hAnsi="Times New Roman" w:cs="Times New Roman"/>
          <w:bCs/>
          <w:sz w:val="24"/>
          <w:szCs w:val="24"/>
        </w:rPr>
        <w:t>.</w:t>
      </w:r>
      <w:r w:rsidR="00147DB1" w:rsidRPr="001B5A2D">
        <w:rPr>
          <w:rFonts w:ascii="Times New Roman" w:hAnsi="Times New Roman" w:cs="Times New Roman"/>
          <w:bCs/>
          <w:sz w:val="24"/>
          <w:szCs w:val="24"/>
        </w:rPr>
        <w:t xml:space="preserve"> Az infláció, így a vizsgálati díjak emelésének mértékéről a Megbízott levélben tájékoztatja a Megbízót minden évben. </w:t>
      </w:r>
    </w:p>
    <w:p w14:paraId="4A36F0EC" w14:textId="7A7A1D96" w:rsidR="00AC5FDD" w:rsidRPr="00822734" w:rsidRDefault="00AC5FDD" w:rsidP="00822734">
      <w:pPr>
        <w:tabs>
          <w:tab w:val="left" w:pos="5149"/>
        </w:tabs>
        <w:jc w:val="both"/>
        <w:rPr>
          <w:rFonts w:ascii="Times New Roman" w:hAnsi="Times New Roman" w:cs="Times New Roman"/>
          <w:b/>
          <w:sz w:val="24"/>
          <w:szCs w:val="24"/>
        </w:rPr>
      </w:pPr>
      <w:r w:rsidRPr="002C06BA">
        <w:rPr>
          <w:rFonts w:ascii="Times New Roman" w:hAnsi="Times New Roman" w:cs="Times New Roman"/>
          <w:b/>
          <w:sz w:val="24"/>
          <w:szCs w:val="24"/>
        </w:rPr>
        <w:t>Utólagos:</w:t>
      </w:r>
    </w:p>
    <w:p w14:paraId="3D18DAF9" w14:textId="77777777" w:rsidR="00AC5FDD" w:rsidRPr="002C06BA" w:rsidRDefault="00AC5FDD" w:rsidP="00AC5FDD">
      <w:pPr>
        <w:pStyle w:val="Listaszerbekezds"/>
        <w:numPr>
          <w:ilvl w:val="0"/>
          <w:numId w:val="4"/>
        </w:numPr>
        <w:jc w:val="both"/>
        <w:rPr>
          <w:rFonts w:ascii="Times New Roman" w:hAnsi="Times New Roman" w:cs="Times New Roman"/>
          <w:bCs/>
          <w:sz w:val="24"/>
          <w:szCs w:val="24"/>
        </w:rPr>
      </w:pPr>
      <w:r w:rsidRPr="002C06BA">
        <w:rPr>
          <w:rFonts w:ascii="Times New Roman" w:hAnsi="Times New Roman" w:cs="Times New Roman"/>
          <w:bCs/>
          <w:sz w:val="24"/>
          <w:szCs w:val="24"/>
        </w:rPr>
        <w:t xml:space="preserve">A szerződő Felek megállapodnak abban, hogy a szerződések értékállóságának biztosítása érdekében naptári évenként utólagos, egyösszegű korrekciót (továbbiakban: Korrekció) hajtanak végre. A Korrekció összege az első évben az adott naptári évben a Megbízott által kiállított számlákban megjelenő áfa nélküli ellenérték és az adott naptári évre, a Központi Statisztikai Hivatal (KSH) által közzétett fogyasztói árindex szorzataként kerül meghatározásra. Minden további évben a Korrekció alapja az adott naptári évben a Megbízott által kiállított vizsgálati díjakról szóló számlákban megjelenő áfa nélküli ellenérték, a Korrekció összege ezen alap és a korrekciókban érintett naptári évekre vonatkozóan közzétett KSH árindexek szorzataként kerül meghatározásra.  </w:t>
      </w:r>
    </w:p>
    <w:p w14:paraId="1F7AB1DB" w14:textId="2F8DC587" w:rsidR="00AC5FDD" w:rsidRPr="002C06BA" w:rsidRDefault="00AC5FDD" w:rsidP="00AC5FDD">
      <w:pPr>
        <w:pStyle w:val="Listaszerbekezds"/>
        <w:numPr>
          <w:ilvl w:val="0"/>
          <w:numId w:val="4"/>
        </w:numPr>
        <w:jc w:val="both"/>
        <w:rPr>
          <w:rFonts w:ascii="Times New Roman" w:hAnsi="Times New Roman" w:cs="Times New Roman"/>
          <w:bCs/>
          <w:sz w:val="24"/>
          <w:szCs w:val="24"/>
        </w:rPr>
      </w:pPr>
      <w:r w:rsidRPr="002C06BA">
        <w:rPr>
          <w:rFonts w:ascii="Times New Roman" w:hAnsi="Times New Roman" w:cs="Times New Roman"/>
          <w:bCs/>
          <w:sz w:val="24"/>
          <w:szCs w:val="24"/>
        </w:rPr>
        <w:lastRenderedPageBreak/>
        <w:t>A Korrekciót az Egyetem az általános forgalmi adóval növelt összegben, számla ellenében, 30 napos fizetési határidővel jogosult a naptári évet követően a Megbízó felé érvényesíteni.</w:t>
      </w:r>
    </w:p>
    <w:p w14:paraId="6A50AF41" w14:textId="6279B69E" w:rsidR="00AC5FDD" w:rsidRPr="002C06BA" w:rsidRDefault="00AC5FDD" w:rsidP="00AC5FDD">
      <w:pPr>
        <w:pStyle w:val="Listaszerbekezds"/>
        <w:numPr>
          <w:ilvl w:val="0"/>
          <w:numId w:val="4"/>
        </w:numPr>
        <w:jc w:val="both"/>
        <w:rPr>
          <w:rFonts w:ascii="Times New Roman" w:hAnsi="Times New Roman" w:cs="Times New Roman"/>
          <w:bCs/>
          <w:sz w:val="24"/>
          <w:szCs w:val="24"/>
        </w:rPr>
      </w:pPr>
      <w:r w:rsidRPr="002C06BA">
        <w:rPr>
          <w:rFonts w:ascii="Times New Roman" w:hAnsi="Times New Roman" w:cs="Times New Roman"/>
          <w:bCs/>
          <w:sz w:val="24"/>
          <w:szCs w:val="24"/>
        </w:rPr>
        <w:t xml:space="preserve">Az évközben megszűnő szerződések esetében az Egyetem a szerződés tárgyát képező vizsgálatokról szóló utolsó számla kiállításával egyidőben jogosult a naptári évre vonatkozó Korrekció 1. pontban leírtak szerint számolt összegének kiszámlázására azzal, hogy az összegének maghatározásához ekkor a KSH által a naptári év eltelt időszakára meghatározott fogyasztói árindexet alkalmazzák a Felek. </w:t>
      </w:r>
    </w:p>
    <w:p w14:paraId="425893F6" w14:textId="35D147D7" w:rsidR="00AC5FDD" w:rsidRPr="002C06BA" w:rsidRDefault="00AC5FDD" w:rsidP="00AC5FDD">
      <w:pPr>
        <w:pStyle w:val="Listaszerbekezds"/>
        <w:numPr>
          <w:ilvl w:val="0"/>
          <w:numId w:val="4"/>
        </w:numPr>
        <w:jc w:val="both"/>
        <w:rPr>
          <w:rFonts w:ascii="Times New Roman" w:hAnsi="Times New Roman" w:cs="Times New Roman"/>
          <w:bCs/>
          <w:sz w:val="24"/>
          <w:szCs w:val="24"/>
        </w:rPr>
      </w:pPr>
      <w:r w:rsidRPr="002C06BA">
        <w:rPr>
          <w:rFonts w:ascii="Times New Roman" w:hAnsi="Times New Roman" w:cs="Times New Roman"/>
          <w:bCs/>
          <w:sz w:val="24"/>
          <w:szCs w:val="24"/>
        </w:rPr>
        <w:t>A vizsgálati díj emelése és utólagos korrekciója, valamint az értesítés joghatásai tekintetében jelen megállapodásban foglaltak hatálya kiterjed az intézményi szerződés végrehajtására Megbízó vizsgálati személyzettel kötött szerződéseire azzal, hogy jelen szerződésben meghatározott feltételektől eltérő rendelkezéseket a Megbízó a Vizsgálati személyzettel kötött szerződéseiben nem alkalmazhat.</w:t>
      </w:r>
    </w:p>
    <w:p w14:paraId="7309E4A6" w14:textId="77777777" w:rsidR="00364377" w:rsidRPr="002C06BA" w:rsidRDefault="00364377" w:rsidP="00364377">
      <w:pPr>
        <w:tabs>
          <w:tab w:val="left" w:pos="5149"/>
        </w:tabs>
        <w:jc w:val="both"/>
        <w:rPr>
          <w:rFonts w:ascii="Times New Roman" w:hAnsi="Times New Roman" w:cs="Times New Roman"/>
          <w:bCs/>
          <w:sz w:val="24"/>
          <w:szCs w:val="24"/>
        </w:rPr>
      </w:pPr>
    </w:p>
    <w:p w14:paraId="7D79EBB0" w14:textId="125D15AF" w:rsidR="00364377" w:rsidRPr="002C06BA" w:rsidRDefault="00364377" w:rsidP="00364377">
      <w:pPr>
        <w:tabs>
          <w:tab w:val="left" w:pos="5149"/>
        </w:tabs>
        <w:jc w:val="both"/>
        <w:rPr>
          <w:rFonts w:ascii="Times New Roman" w:hAnsi="Times New Roman" w:cs="Times New Roman"/>
          <w:bCs/>
          <w:sz w:val="24"/>
          <w:szCs w:val="24"/>
        </w:rPr>
      </w:pPr>
      <w:bookmarkStart w:id="3" w:name="_Hlk118650878"/>
      <w:r w:rsidRPr="002C06BA">
        <w:rPr>
          <w:rFonts w:ascii="Times New Roman" w:hAnsi="Times New Roman" w:cs="Times New Roman"/>
          <w:bCs/>
          <w:sz w:val="24"/>
          <w:szCs w:val="24"/>
        </w:rPr>
        <w:t xml:space="preserve">Indexálásra vonatkozó javasolt szerződésszövegezés </w:t>
      </w:r>
      <w:r w:rsidRPr="002C06BA">
        <w:rPr>
          <w:rFonts w:ascii="Times New Roman" w:hAnsi="Times New Roman" w:cs="Times New Roman"/>
          <w:b/>
          <w:sz w:val="24"/>
          <w:szCs w:val="24"/>
        </w:rPr>
        <w:t>Euróalapú szerződéseknél</w:t>
      </w:r>
      <w:r w:rsidRPr="002C06BA">
        <w:rPr>
          <w:rFonts w:ascii="Times New Roman" w:hAnsi="Times New Roman" w:cs="Times New Roman"/>
          <w:bCs/>
          <w:sz w:val="24"/>
          <w:szCs w:val="24"/>
        </w:rPr>
        <w:t xml:space="preserve">: (előzetes és utólagos formában) </w:t>
      </w:r>
    </w:p>
    <w:p w14:paraId="18158DFA" w14:textId="03118233" w:rsidR="00364377" w:rsidRDefault="00364377" w:rsidP="00364377">
      <w:pPr>
        <w:tabs>
          <w:tab w:val="left" w:pos="5149"/>
        </w:tabs>
        <w:jc w:val="both"/>
        <w:rPr>
          <w:rFonts w:ascii="Times New Roman" w:hAnsi="Times New Roman" w:cs="Times New Roman"/>
          <w:b/>
          <w:sz w:val="24"/>
          <w:szCs w:val="24"/>
        </w:rPr>
      </w:pPr>
      <w:r w:rsidRPr="002C06BA">
        <w:rPr>
          <w:rFonts w:ascii="Times New Roman" w:hAnsi="Times New Roman" w:cs="Times New Roman"/>
          <w:b/>
          <w:sz w:val="24"/>
          <w:szCs w:val="24"/>
        </w:rPr>
        <w:t>Előzetes:</w:t>
      </w:r>
    </w:p>
    <w:p w14:paraId="04D433F8" w14:textId="45189238" w:rsidR="003874F6" w:rsidRPr="001B5A2D" w:rsidRDefault="003874F6" w:rsidP="003874F6">
      <w:pPr>
        <w:tabs>
          <w:tab w:val="left" w:pos="5149"/>
        </w:tabs>
        <w:jc w:val="both"/>
        <w:rPr>
          <w:rFonts w:ascii="Times New Roman" w:hAnsi="Times New Roman" w:cs="Times New Roman"/>
          <w:sz w:val="24"/>
          <w:szCs w:val="24"/>
        </w:rPr>
      </w:pPr>
      <w:r w:rsidRPr="001B5A2D">
        <w:rPr>
          <w:rFonts w:ascii="Times New Roman" w:hAnsi="Times New Roman" w:cs="Times New Roman"/>
          <w:sz w:val="24"/>
          <w:szCs w:val="24"/>
        </w:rPr>
        <w:t xml:space="preserve">A szerződő Felek megállapodnak abban, hogy a szerződés értékállóságának biztosítása érdekében a Megbízott jogosult minden évben a vizsgálati díj összegét felülvizsgálni, és azt az </w:t>
      </w:r>
      <w:r w:rsidR="009912F3" w:rsidRPr="001B5A2D">
        <w:rPr>
          <w:rFonts w:ascii="Times New Roman" w:hAnsi="Times New Roman" w:cs="Times New Roman"/>
          <w:sz w:val="24"/>
          <w:szCs w:val="24"/>
        </w:rPr>
        <w:t>EUROSTAT által közzétett tárgyévet megelőző évi harmonizált fogyasztóiár-index (HICP)</w:t>
      </w:r>
      <w:r w:rsidRPr="001B5A2D">
        <w:rPr>
          <w:rFonts w:ascii="Times New Roman" w:hAnsi="Times New Roman" w:cs="Times New Roman"/>
          <w:sz w:val="24"/>
          <w:szCs w:val="24"/>
        </w:rPr>
        <w:t xml:space="preserve"> </w:t>
      </w:r>
      <w:r w:rsidR="009912F3" w:rsidRPr="001B5A2D">
        <w:rPr>
          <w:rFonts w:ascii="Times New Roman" w:hAnsi="Times New Roman" w:cs="Times New Roman"/>
          <w:sz w:val="24"/>
          <w:szCs w:val="24"/>
        </w:rPr>
        <w:t xml:space="preserve">/továbbiakban: infláció/ </w:t>
      </w:r>
      <w:r w:rsidRPr="001B5A2D">
        <w:rPr>
          <w:rFonts w:ascii="Times New Roman" w:hAnsi="Times New Roman" w:cs="Times New Roman"/>
          <w:sz w:val="24"/>
          <w:szCs w:val="24"/>
        </w:rPr>
        <w:t xml:space="preserve">mértékével egyező mértékben egyoldalúan, a tárgyév január 1. napjára visszamenőleges hatállyal megemelni. Az infláció, így a vizsgálati díjak emelésének mértékéről a Megbízott levélben tájékoztatja a Megbízót minden évben. </w:t>
      </w:r>
    </w:p>
    <w:p w14:paraId="51BC9CF1" w14:textId="77777777" w:rsidR="003874F6" w:rsidRPr="002C06BA" w:rsidRDefault="003874F6" w:rsidP="00364377">
      <w:pPr>
        <w:tabs>
          <w:tab w:val="left" w:pos="5149"/>
        </w:tabs>
        <w:jc w:val="both"/>
        <w:rPr>
          <w:rFonts w:ascii="Times New Roman" w:hAnsi="Times New Roman" w:cs="Times New Roman"/>
          <w:b/>
          <w:sz w:val="24"/>
          <w:szCs w:val="24"/>
        </w:rPr>
      </w:pPr>
    </w:p>
    <w:p w14:paraId="38BDD6CD" w14:textId="161A8495" w:rsidR="00E57134" w:rsidRPr="002C06BA" w:rsidRDefault="00364377" w:rsidP="00E57134">
      <w:pPr>
        <w:jc w:val="both"/>
        <w:rPr>
          <w:rFonts w:ascii="Times New Roman" w:hAnsi="Times New Roman" w:cs="Times New Roman"/>
          <w:b/>
          <w:sz w:val="24"/>
          <w:szCs w:val="24"/>
        </w:rPr>
      </w:pPr>
      <w:r w:rsidRPr="002C06BA">
        <w:rPr>
          <w:rFonts w:ascii="Times New Roman" w:hAnsi="Times New Roman" w:cs="Times New Roman"/>
          <w:b/>
          <w:sz w:val="24"/>
          <w:szCs w:val="24"/>
        </w:rPr>
        <w:t>Utólagos:</w:t>
      </w:r>
    </w:p>
    <w:bookmarkEnd w:id="3"/>
    <w:p w14:paraId="2FB57155" w14:textId="5D959B41" w:rsidR="00364377" w:rsidRPr="002C06BA" w:rsidRDefault="00364377" w:rsidP="00364377">
      <w:pPr>
        <w:pStyle w:val="Listaszerbekezds"/>
        <w:numPr>
          <w:ilvl w:val="0"/>
          <w:numId w:val="5"/>
        </w:numPr>
        <w:jc w:val="both"/>
        <w:rPr>
          <w:rFonts w:ascii="Times New Roman" w:hAnsi="Times New Roman" w:cs="Times New Roman"/>
          <w:sz w:val="24"/>
          <w:szCs w:val="24"/>
        </w:rPr>
      </w:pPr>
      <w:r w:rsidRPr="002C06BA">
        <w:rPr>
          <w:rFonts w:ascii="Times New Roman" w:hAnsi="Times New Roman" w:cs="Times New Roman"/>
          <w:sz w:val="24"/>
          <w:szCs w:val="24"/>
        </w:rPr>
        <w:t xml:space="preserve">A szerződő Felek megállapodnak abban, hogy a szerződések értékállóságának biztosítása érdekében naptári évenként utólagos, egyösszegű korrekciót (továbbiakban: Korrekció) hajtanak végre. A Korrekció meghatározására első alkalommal a 2023. január 1-gyel kezdődő naptári évre vonatkozóan, 2024. év elején kerül sor. A Korrekció összege az első évben az adott naptári évben a Megbízott által kiállított számlákban megjelenő áfa nélküli ellenérték és az adott naptári évre, az Európai Statisztikai Hivatal (Eurostat) által közzétett harmonizált fogyasztói árindex szorzataként kerül meghatározásra. Minden további évben a Korrekció alapja az adott naptári évben a Megbízott által kiállított vizsgálati díjakról szóló számlákban megjelenő áfa nélküli ellenérték, a Korrekció összege ezen alap és a korrekciókban érintett naptári évre vonatkozóan közzétett Eurostat harmonizált fogyasztói árindex szorzataként kerül meghatározásra.  </w:t>
      </w:r>
    </w:p>
    <w:p w14:paraId="4F71FCA1" w14:textId="7099B34D" w:rsidR="00364377" w:rsidRPr="002C06BA" w:rsidRDefault="00364377" w:rsidP="00364377">
      <w:pPr>
        <w:pStyle w:val="Listaszerbekezds"/>
        <w:numPr>
          <w:ilvl w:val="0"/>
          <w:numId w:val="5"/>
        </w:numPr>
        <w:jc w:val="both"/>
        <w:rPr>
          <w:rFonts w:ascii="Times New Roman" w:hAnsi="Times New Roman" w:cs="Times New Roman"/>
          <w:sz w:val="24"/>
          <w:szCs w:val="24"/>
        </w:rPr>
      </w:pPr>
      <w:r w:rsidRPr="002C06BA">
        <w:rPr>
          <w:rFonts w:ascii="Times New Roman" w:hAnsi="Times New Roman" w:cs="Times New Roman"/>
          <w:sz w:val="24"/>
          <w:szCs w:val="24"/>
        </w:rPr>
        <w:t xml:space="preserve">További pontok megfelelnek a Forintalapú szerződéseknél </w:t>
      </w:r>
      <w:proofErr w:type="spellStart"/>
      <w:r w:rsidRPr="002C06BA">
        <w:rPr>
          <w:rFonts w:ascii="Times New Roman" w:hAnsi="Times New Roman" w:cs="Times New Roman"/>
          <w:sz w:val="24"/>
          <w:szCs w:val="24"/>
        </w:rPr>
        <w:t>megfogalmazottakkal</w:t>
      </w:r>
      <w:proofErr w:type="spellEnd"/>
      <w:r w:rsidRPr="002C06BA">
        <w:rPr>
          <w:rFonts w:ascii="Times New Roman" w:hAnsi="Times New Roman" w:cs="Times New Roman"/>
          <w:sz w:val="24"/>
          <w:szCs w:val="24"/>
        </w:rPr>
        <w:t>.</w:t>
      </w:r>
    </w:p>
    <w:p w14:paraId="4CA49218" w14:textId="5AAE57B1" w:rsidR="00364377" w:rsidRDefault="00364377" w:rsidP="00364377">
      <w:pPr>
        <w:jc w:val="both"/>
        <w:rPr>
          <w:rFonts w:ascii="Times New Roman" w:hAnsi="Times New Roman" w:cs="Times New Roman"/>
          <w:sz w:val="24"/>
          <w:szCs w:val="24"/>
        </w:rPr>
      </w:pPr>
    </w:p>
    <w:p w14:paraId="6D6709F9" w14:textId="77777777" w:rsidR="001B5A2D" w:rsidRPr="002C06BA" w:rsidRDefault="001B5A2D" w:rsidP="00364377">
      <w:pPr>
        <w:jc w:val="both"/>
        <w:rPr>
          <w:rFonts w:ascii="Times New Roman" w:hAnsi="Times New Roman" w:cs="Times New Roman"/>
          <w:sz w:val="24"/>
          <w:szCs w:val="24"/>
        </w:rPr>
      </w:pPr>
    </w:p>
    <w:p w14:paraId="05BCC8CF" w14:textId="0DECB875" w:rsidR="00364377" w:rsidRPr="00364377" w:rsidRDefault="00364377" w:rsidP="00364377">
      <w:pPr>
        <w:jc w:val="both"/>
        <w:rPr>
          <w:rFonts w:ascii="Times New Roman" w:hAnsi="Times New Roman" w:cs="Times New Roman"/>
          <w:bCs/>
          <w:sz w:val="24"/>
          <w:szCs w:val="24"/>
        </w:rPr>
      </w:pPr>
      <w:r w:rsidRPr="00364377">
        <w:rPr>
          <w:rFonts w:ascii="Times New Roman" w:hAnsi="Times New Roman" w:cs="Times New Roman"/>
          <w:bCs/>
          <w:sz w:val="24"/>
          <w:szCs w:val="24"/>
        </w:rPr>
        <w:lastRenderedPageBreak/>
        <w:t xml:space="preserve">Indexálásra vonatkozó javasolt szerződésszövegezés </w:t>
      </w:r>
      <w:r w:rsidRPr="002C06BA">
        <w:rPr>
          <w:rFonts w:ascii="Times New Roman" w:hAnsi="Times New Roman" w:cs="Times New Roman"/>
          <w:b/>
          <w:sz w:val="24"/>
          <w:szCs w:val="24"/>
        </w:rPr>
        <w:t xml:space="preserve">USD </w:t>
      </w:r>
      <w:r w:rsidRPr="00364377">
        <w:rPr>
          <w:rFonts w:ascii="Times New Roman" w:hAnsi="Times New Roman" w:cs="Times New Roman"/>
          <w:b/>
          <w:sz w:val="24"/>
          <w:szCs w:val="24"/>
        </w:rPr>
        <w:t>alapú szerződéseknél</w:t>
      </w:r>
      <w:r w:rsidRPr="00364377">
        <w:rPr>
          <w:rFonts w:ascii="Times New Roman" w:hAnsi="Times New Roman" w:cs="Times New Roman"/>
          <w:bCs/>
          <w:sz w:val="24"/>
          <w:szCs w:val="24"/>
        </w:rPr>
        <w:t xml:space="preserve">: (előzetes és utólagos formában) </w:t>
      </w:r>
    </w:p>
    <w:p w14:paraId="36707090" w14:textId="6D6C3D87" w:rsidR="00364377" w:rsidRDefault="00364377" w:rsidP="00364377">
      <w:pPr>
        <w:jc w:val="both"/>
        <w:rPr>
          <w:rFonts w:ascii="Times New Roman" w:hAnsi="Times New Roman" w:cs="Times New Roman"/>
          <w:b/>
          <w:sz w:val="24"/>
          <w:szCs w:val="24"/>
        </w:rPr>
      </w:pPr>
      <w:r w:rsidRPr="00364377">
        <w:rPr>
          <w:rFonts w:ascii="Times New Roman" w:hAnsi="Times New Roman" w:cs="Times New Roman"/>
          <w:b/>
          <w:sz w:val="24"/>
          <w:szCs w:val="24"/>
        </w:rPr>
        <w:t>Előzetes:</w:t>
      </w:r>
    </w:p>
    <w:p w14:paraId="37B719A9" w14:textId="24F68C25" w:rsidR="009912F3" w:rsidRPr="001B5A2D" w:rsidRDefault="009912F3" w:rsidP="001B5A2D">
      <w:pPr>
        <w:tabs>
          <w:tab w:val="left" w:pos="5149"/>
        </w:tabs>
        <w:spacing w:after="0" w:line="240" w:lineRule="auto"/>
        <w:jc w:val="both"/>
        <w:rPr>
          <w:rFonts w:ascii="Times New Roman" w:hAnsi="Times New Roman" w:cs="Times New Roman"/>
          <w:bCs/>
          <w:sz w:val="24"/>
          <w:szCs w:val="24"/>
        </w:rPr>
      </w:pPr>
      <w:r w:rsidRPr="001B5A2D">
        <w:rPr>
          <w:rFonts w:ascii="Times New Roman" w:hAnsi="Times New Roman" w:cs="Times New Roman"/>
          <w:bCs/>
          <w:sz w:val="24"/>
          <w:szCs w:val="24"/>
        </w:rPr>
        <w:t xml:space="preserve">A szerződő Felek megállapodnak abban, hogy a szerződés értékállóságának biztosítása érdekében a Megbízott jogosult minden évben a vizsgálati díj összegét felülvizsgálni, és azt az </w:t>
      </w:r>
      <w:r w:rsidR="002B59B0" w:rsidRPr="001B5A2D">
        <w:rPr>
          <w:rFonts w:ascii="Times New Roman" w:hAnsi="Times New Roman" w:cs="Times New Roman"/>
          <w:bCs/>
          <w:sz w:val="24"/>
          <w:szCs w:val="24"/>
        </w:rPr>
        <w:t xml:space="preserve">U.S. </w:t>
      </w:r>
      <w:proofErr w:type="spellStart"/>
      <w:r w:rsidR="002B59B0" w:rsidRPr="001B5A2D">
        <w:rPr>
          <w:rFonts w:ascii="Times New Roman" w:hAnsi="Times New Roman" w:cs="Times New Roman"/>
          <w:bCs/>
          <w:sz w:val="24"/>
          <w:szCs w:val="24"/>
        </w:rPr>
        <w:t>Bureau</w:t>
      </w:r>
      <w:proofErr w:type="spellEnd"/>
      <w:r w:rsidR="002B59B0" w:rsidRPr="001B5A2D">
        <w:rPr>
          <w:rFonts w:ascii="Times New Roman" w:hAnsi="Times New Roman" w:cs="Times New Roman"/>
          <w:bCs/>
          <w:sz w:val="24"/>
          <w:szCs w:val="24"/>
        </w:rPr>
        <w:t xml:space="preserve"> of Labor </w:t>
      </w:r>
      <w:proofErr w:type="spellStart"/>
      <w:r w:rsidR="002B59B0" w:rsidRPr="001B5A2D">
        <w:rPr>
          <w:rFonts w:ascii="Times New Roman" w:hAnsi="Times New Roman" w:cs="Times New Roman"/>
          <w:bCs/>
          <w:sz w:val="24"/>
          <w:szCs w:val="24"/>
        </w:rPr>
        <w:t>Statistics</w:t>
      </w:r>
      <w:proofErr w:type="spellEnd"/>
      <w:r w:rsidR="002B59B0" w:rsidRPr="001B5A2D">
        <w:rPr>
          <w:rFonts w:ascii="Times New Roman" w:hAnsi="Times New Roman" w:cs="Times New Roman"/>
          <w:bCs/>
          <w:sz w:val="24"/>
          <w:szCs w:val="24"/>
        </w:rPr>
        <w:t xml:space="preserve"> </w:t>
      </w:r>
      <w:r w:rsidRPr="001B5A2D">
        <w:rPr>
          <w:rFonts w:ascii="Times New Roman" w:hAnsi="Times New Roman" w:cs="Times New Roman"/>
          <w:bCs/>
          <w:sz w:val="24"/>
          <w:szCs w:val="24"/>
        </w:rPr>
        <w:t>által közzétett tárgyévet megelőző évi harmonizált fogyasztóiár-index (</w:t>
      </w:r>
      <w:r w:rsidR="002B59B0" w:rsidRPr="001B5A2D">
        <w:rPr>
          <w:rFonts w:ascii="Times New Roman" w:hAnsi="Times New Roman" w:cs="Times New Roman"/>
          <w:bCs/>
          <w:sz w:val="24"/>
          <w:szCs w:val="24"/>
        </w:rPr>
        <w:t>CPI</w:t>
      </w:r>
      <w:r w:rsidRPr="001B5A2D">
        <w:rPr>
          <w:rFonts w:ascii="Times New Roman" w:hAnsi="Times New Roman" w:cs="Times New Roman"/>
          <w:bCs/>
          <w:sz w:val="24"/>
          <w:szCs w:val="24"/>
        </w:rPr>
        <w:t xml:space="preserve">) /továbbiakban: infláció/ mértékével egyező mértékben egyoldalúan, a tárgyév január 1. napjára visszamenőleges hatállyal megemelni. Az infláció, így a vizsgálati díjak emelésének mértékéről a Megbízott levélben tájékoztatja a Megbízót minden évben. </w:t>
      </w:r>
    </w:p>
    <w:p w14:paraId="6C81539C" w14:textId="77777777" w:rsidR="009912F3" w:rsidRPr="001B5A2D" w:rsidRDefault="009912F3" w:rsidP="00364377">
      <w:pPr>
        <w:jc w:val="both"/>
        <w:rPr>
          <w:rFonts w:ascii="Times New Roman" w:hAnsi="Times New Roman" w:cs="Times New Roman"/>
          <w:bCs/>
          <w:sz w:val="24"/>
          <w:szCs w:val="24"/>
        </w:rPr>
      </w:pPr>
    </w:p>
    <w:p w14:paraId="129B031B" w14:textId="4D6D17CD" w:rsidR="00364377" w:rsidRPr="002C06BA" w:rsidRDefault="00364377" w:rsidP="00364377">
      <w:pPr>
        <w:jc w:val="both"/>
        <w:rPr>
          <w:rFonts w:ascii="Times New Roman" w:hAnsi="Times New Roman" w:cs="Times New Roman"/>
          <w:b/>
          <w:sz w:val="24"/>
          <w:szCs w:val="24"/>
        </w:rPr>
      </w:pPr>
      <w:r w:rsidRPr="00364377">
        <w:rPr>
          <w:rFonts w:ascii="Times New Roman" w:hAnsi="Times New Roman" w:cs="Times New Roman"/>
          <w:b/>
          <w:sz w:val="24"/>
          <w:szCs w:val="24"/>
        </w:rPr>
        <w:t>Utólagos:</w:t>
      </w:r>
    </w:p>
    <w:p w14:paraId="27455349" w14:textId="7778C14A" w:rsidR="00364377" w:rsidRPr="002C06BA" w:rsidRDefault="00364377" w:rsidP="00364377">
      <w:pPr>
        <w:pStyle w:val="Listaszerbekezds"/>
        <w:numPr>
          <w:ilvl w:val="0"/>
          <w:numId w:val="6"/>
        </w:numPr>
        <w:jc w:val="both"/>
        <w:rPr>
          <w:rFonts w:ascii="Times New Roman" w:hAnsi="Times New Roman" w:cs="Times New Roman"/>
          <w:sz w:val="24"/>
          <w:szCs w:val="24"/>
        </w:rPr>
      </w:pPr>
      <w:r w:rsidRPr="002C06BA">
        <w:rPr>
          <w:rFonts w:ascii="Times New Roman" w:hAnsi="Times New Roman" w:cs="Times New Roman"/>
          <w:sz w:val="24"/>
          <w:szCs w:val="24"/>
        </w:rPr>
        <w:t xml:space="preserve">A szerződő Felek megállapodnak abban, hogy a szerződések értékállóságának biztosítása érdekében naptári évenként utólagos, egyösszegű korrekciót (továbbiakban: Korrekció) hajtanak végre. A Korrekció meghatározására első alkalommal a 2023. január 1-gyel kezdődő naptári évre vonatkozóan, 2024. év elején kerül sor. A Korrekció összege az első évben az adott naptári évben a Megbízott által kiállított számlákban megjelenő áfa nélküli ellenérték és az adott naptári évre, a U.S. </w:t>
      </w:r>
      <w:proofErr w:type="spellStart"/>
      <w:r w:rsidRPr="002C06BA">
        <w:rPr>
          <w:rFonts w:ascii="Times New Roman" w:hAnsi="Times New Roman" w:cs="Times New Roman"/>
          <w:sz w:val="24"/>
          <w:szCs w:val="24"/>
        </w:rPr>
        <w:t>Bureau</w:t>
      </w:r>
      <w:proofErr w:type="spellEnd"/>
      <w:r w:rsidRPr="002C06BA">
        <w:rPr>
          <w:rFonts w:ascii="Times New Roman" w:hAnsi="Times New Roman" w:cs="Times New Roman"/>
          <w:sz w:val="24"/>
          <w:szCs w:val="24"/>
        </w:rPr>
        <w:t xml:space="preserve"> of Labor </w:t>
      </w:r>
      <w:proofErr w:type="spellStart"/>
      <w:r w:rsidRPr="002C06BA">
        <w:rPr>
          <w:rFonts w:ascii="Times New Roman" w:hAnsi="Times New Roman" w:cs="Times New Roman"/>
          <w:sz w:val="24"/>
          <w:szCs w:val="24"/>
        </w:rPr>
        <w:t>Statistics</w:t>
      </w:r>
      <w:proofErr w:type="spellEnd"/>
      <w:r w:rsidRPr="002C06BA">
        <w:rPr>
          <w:rFonts w:ascii="Times New Roman" w:hAnsi="Times New Roman" w:cs="Times New Roman"/>
          <w:sz w:val="24"/>
          <w:szCs w:val="24"/>
        </w:rPr>
        <w:t xml:space="preserve"> (BLS) által közzétett fogyasztói árindex (CPI) szorzataként kerül meghatározásra. Minden további évben a Korrekció alapja az adott naptári évben a Megbízott által kiállított vizsgálati díjakról szóló számlákban megjelenő áfa nélküli ellenérték, a Korrekció összege ezen alap és a korrekciókban érintett naptári évre vonatkozóan a BLS által közzétett CPI szorzataként kerül meghatározásra.  </w:t>
      </w:r>
    </w:p>
    <w:p w14:paraId="63A29E24" w14:textId="011BA783" w:rsidR="00364377" w:rsidRPr="00F75358" w:rsidRDefault="00364377" w:rsidP="00364377">
      <w:pPr>
        <w:pStyle w:val="Listaszerbekezds"/>
        <w:numPr>
          <w:ilvl w:val="0"/>
          <w:numId w:val="6"/>
        </w:numPr>
        <w:jc w:val="both"/>
        <w:rPr>
          <w:rFonts w:ascii="Times New Roman" w:hAnsi="Times New Roman" w:cs="Times New Roman"/>
          <w:sz w:val="24"/>
          <w:szCs w:val="24"/>
        </w:rPr>
      </w:pPr>
      <w:r w:rsidRPr="002C06BA">
        <w:rPr>
          <w:rFonts w:ascii="Times New Roman" w:hAnsi="Times New Roman" w:cs="Times New Roman"/>
          <w:sz w:val="24"/>
          <w:szCs w:val="24"/>
        </w:rPr>
        <w:t xml:space="preserve">További pontok megfelelnek a Forintalapú szerződéseknél </w:t>
      </w:r>
      <w:proofErr w:type="spellStart"/>
      <w:r w:rsidRPr="002C06BA">
        <w:rPr>
          <w:rFonts w:ascii="Times New Roman" w:hAnsi="Times New Roman" w:cs="Times New Roman"/>
          <w:sz w:val="24"/>
          <w:szCs w:val="24"/>
        </w:rPr>
        <w:t>megfogalmazottakkal</w:t>
      </w:r>
      <w:proofErr w:type="spellEnd"/>
      <w:r w:rsidRPr="002C06BA">
        <w:rPr>
          <w:rFonts w:ascii="Times New Roman" w:hAnsi="Times New Roman" w:cs="Times New Roman"/>
          <w:sz w:val="24"/>
          <w:szCs w:val="24"/>
        </w:rPr>
        <w:t>.</w:t>
      </w:r>
    </w:p>
    <w:p w14:paraId="1CF5EE03" w14:textId="46C74CC5" w:rsidR="00F75358" w:rsidRDefault="00F75358" w:rsidP="00F75358">
      <w:pPr>
        <w:jc w:val="both"/>
        <w:rPr>
          <w:sz w:val="24"/>
          <w:szCs w:val="24"/>
        </w:rPr>
      </w:pPr>
    </w:p>
    <w:p w14:paraId="66D8E992" w14:textId="24630F71" w:rsidR="00F75358" w:rsidRDefault="00F75358" w:rsidP="00F75358">
      <w:pPr>
        <w:jc w:val="both"/>
        <w:rPr>
          <w:sz w:val="24"/>
          <w:szCs w:val="24"/>
        </w:rPr>
      </w:pPr>
      <w:r>
        <w:rPr>
          <w:rFonts w:ascii="Times New Roman" w:hAnsi="Times New Roman" w:cs="Times New Roman"/>
          <w:sz w:val="24"/>
          <w:szCs w:val="24"/>
        </w:rPr>
        <w:t>Valamennyi szerződéstervezet szövegezése elérhető angol nyelven is az Iroda honlapján.</w:t>
      </w:r>
    </w:p>
    <w:p w14:paraId="28141728" w14:textId="77777777" w:rsidR="00F75358" w:rsidRPr="00F75358" w:rsidRDefault="00F75358" w:rsidP="00F75358">
      <w:pPr>
        <w:jc w:val="both"/>
        <w:rPr>
          <w:rFonts w:ascii="Times New Roman" w:hAnsi="Times New Roman" w:cs="Times New Roman"/>
          <w:sz w:val="24"/>
          <w:szCs w:val="24"/>
        </w:rPr>
      </w:pPr>
    </w:p>
    <w:p w14:paraId="6E9C1A02" w14:textId="77777777" w:rsidR="00364377" w:rsidRPr="002C06BA" w:rsidRDefault="00364377" w:rsidP="00364377">
      <w:pPr>
        <w:pStyle w:val="Listaszerbekezds"/>
        <w:jc w:val="both"/>
        <w:rPr>
          <w:rFonts w:ascii="Times New Roman" w:hAnsi="Times New Roman" w:cs="Times New Roman"/>
          <w:sz w:val="24"/>
          <w:szCs w:val="24"/>
        </w:rPr>
      </w:pPr>
    </w:p>
    <w:p w14:paraId="6D36EF42" w14:textId="77777777" w:rsidR="00364377" w:rsidRPr="00364377" w:rsidRDefault="00364377" w:rsidP="00364377">
      <w:pPr>
        <w:jc w:val="both"/>
        <w:rPr>
          <w:rFonts w:ascii="Times New Roman" w:hAnsi="Times New Roman" w:cs="Times New Roman"/>
          <w:b/>
          <w:sz w:val="24"/>
          <w:szCs w:val="24"/>
        </w:rPr>
      </w:pPr>
    </w:p>
    <w:p w14:paraId="017CD466" w14:textId="77777777" w:rsidR="00364377" w:rsidRPr="00364377" w:rsidRDefault="00364377" w:rsidP="00364377">
      <w:pPr>
        <w:jc w:val="both"/>
        <w:rPr>
          <w:rFonts w:ascii="Calibri" w:hAnsi="Calibri" w:cs="Calibri"/>
          <w:sz w:val="24"/>
          <w:szCs w:val="24"/>
        </w:rPr>
      </w:pPr>
    </w:p>
    <w:p w14:paraId="5FB9E476" w14:textId="77777777" w:rsidR="00AC5FDD" w:rsidRPr="00AC5FDD" w:rsidRDefault="00AC5FDD" w:rsidP="00AC5FDD">
      <w:pPr>
        <w:pStyle w:val="Listaszerbekezds"/>
        <w:ind w:left="0"/>
        <w:jc w:val="both"/>
        <w:rPr>
          <w:rFonts w:ascii="Times New Roman" w:hAnsi="Times New Roman" w:cs="Times New Roman"/>
          <w:bCs/>
          <w:sz w:val="24"/>
          <w:szCs w:val="24"/>
        </w:rPr>
      </w:pPr>
    </w:p>
    <w:p w14:paraId="03989765" w14:textId="77777777" w:rsidR="00822734" w:rsidRPr="00AD5D5D" w:rsidRDefault="00822734" w:rsidP="00822734">
      <w:pPr>
        <w:tabs>
          <w:tab w:val="left" w:pos="5149"/>
        </w:tabs>
        <w:jc w:val="both"/>
        <w:rPr>
          <w:rFonts w:ascii="Times New Roman" w:hAnsi="Times New Roman" w:cs="Times New Roman"/>
          <w:sz w:val="24"/>
          <w:szCs w:val="24"/>
        </w:rPr>
      </w:pPr>
    </w:p>
    <w:p w14:paraId="13A0E881" w14:textId="77777777" w:rsidR="00A2719E" w:rsidRPr="000D4A6B" w:rsidRDefault="00A2719E" w:rsidP="00822734">
      <w:pPr>
        <w:tabs>
          <w:tab w:val="left" w:pos="5149"/>
        </w:tabs>
        <w:jc w:val="both"/>
        <w:rPr>
          <w:rFonts w:ascii="Times New Roman" w:hAnsi="Times New Roman" w:cs="Times New Roman"/>
        </w:rPr>
      </w:pPr>
    </w:p>
    <w:p w14:paraId="1F046A1E" w14:textId="77777777" w:rsidR="000D4A6B" w:rsidRPr="000D4A6B" w:rsidRDefault="000D4A6B" w:rsidP="00F55D50">
      <w:pPr>
        <w:tabs>
          <w:tab w:val="left" w:pos="5149"/>
        </w:tabs>
        <w:rPr>
          <w:rFonts w:ascii="Times New Roman" w:hAnsi="Times New Roman" w:cs="Times New Roman"/>
        </w:rPr>
      </w:pPr>
    </w:p>
    <w:sectPr w:rsidR="000D4A6B" w:rsidRPr="000D4A6B">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B6111" w14:textId="77777777" w:rsidR="001B5A2D" w:rsidRDefault="001B5A2D" w:rsidP="001B5A2D">
      <w:pPr>
        <w:spacing w:after="0" w:line="240" w:lineRule="auto"/>
      </w:pPr>
      <w:r>
        <w:separator/>
      </w:r>
    </w:p>
  </w:endnote>
  <w:endnote w:type="continuationSeparator" w:id="0">
    <w:p w14:paraId="2016EFA8" w14:textId="77777777" w:rsidR="001B5A2D" w:rsidRDefault="001B5A2D" w:rsidP="001B5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CE84F" w14:textId="77777777" w:rsidR="001B5A2D" w:rsidRDefault="001B5A2D" w:rsidP="001B5A2D">
      <w:pPr>
        <w:spacing w:after="0" w:line="240" w:lineRule="auto"/>
      </w:pPr>
      <w:r>
        <w:separator/>
      </w:r>
    </w:p>
  </w:footnote>
  <w:footnote w:type="continuationSeparator" w:id="0">
    <w:p w14:paraId="59CB8C6F" w14:textId="77777777" w:rsidR="001B5A2D" w:rsidRDefault="001B5A2D" w:rsidP="001B5A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2961313"/>
      <w:docPartObj>
        <w:docPartGallery w:val="Page Numbers (Top of Page)"/>
        <w:docPartUnique/>
      </w:docPartObj>
    </w:sdtPr>
    <w:sdtContent>
      <w:p w14:paraId="5EF046BE" w14:textId="04D8EBEF" w:rsidR="001B5A2D" w:rsidRDefault="001B5A2D">
        <w:pPr>
          <w:pStyle w:val="lfej"/>
          <w:jc w:val="center"/>
        </w:pPr>
        <w:r>
          <w:fldChar w:fldCharType="begin"/>
        </w:r>
        <w:r>
          <w:instrText>PAGE   \* MERGEFORMAT</w:instrText>
        </w:r>
        <w:r>
          <w:fldChar w:fldCharType="separate"/>
        </w:r>
        <w:r>
          <w:t>2</w:t>
        </w:r>
        <w:r>
          <w:fldChar w:fldCharType="end"/>
        </w:r>
      </w:p>
    </w:sdtContent>
  </w:sdt>
  <w:p w14:paraId="6D0624B2" w14:textId="77777777" w:rsidR="001B5A2D" w:rsidRDefault="001B5A2D">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119C7"/>
    <w:multiLevelType w:val="hybridMultilevel"/>
    <w:tmpl w:val="2062A9E2"/>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F2C0279"/>
    <w:multiLevelType w:val="hybridMultilevel"/>
    <w:tmpl w:val="3692F59E"/>
    <w:lvl w:ilvl="0" w:tplc="F662B834">
      <w:start w:val="400"/>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51D05634"/>
    <w:multiLevelType w:val="hybridMultilevel"/>
    <w:tmpl w:val="1B7475F0"/>
    <w:lvl w:ilvl="0" w:tplc="4FFA827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68BB1BB2"/>
    <w:multiLevelType w:val="hybridMultilevel"/>
    <w:tmpl w:val="C38A37F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95117C0"/>
    <w:multiLevelType w:val="hybridMultilevel"/>
    <w:tmpl w:val="C38A37FA"/>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7B1D634F"/>
    <w:multiLevelType w:val="hybridMultilevel"/>
    <w:tmpl w:val="21E803DC"/>
    <w:lvl w:ilvl="0" w:tplc="CBA286E8">
      <w:start w:val="1"/>
      <w:numFmt w:val="decimal"/>
      <w:lvlText w:val="(%1)"/>
      <w:lvlJc w:val="left"/>
      <w:pPr>
        <w:ind w:left="720" w:hanging="360"/>
      </w:pPr>
      <w:rPr>
        <w:rFonts w:eastAsia="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474761518">
    <w:abstractNumId w:val="1"/>
  </w:num>
  <w:num w:numId="2" w16cid:durableId="1688672881">
    <w:abstractNumId w:val="5"/>
  </w:num>
  <w:num w:numId="3" w16cid:durableId="798231618">
    <w:abstractNumId w:val="2"/>
  </w:num>
  <w:num w:numId="4" w16cid:durableId="388306921">
    <w:abstractNumId w:val="4"/>
  </w:num>
  <w:num w:numId="5" w16cid:durableId="842554955">
    <w:abstractNumId w:val="3"/>
  </w:num>
  <w:num w:numId="6" w16cid:durableId="106122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00A"/>
    <w:rsid w:val="000269BE"/>
    <w:rsid w:val="000349BF"/>
    <w:rsid w:val="00090605"/>
    <w:rsid w:val="0009699F"/>
    <w:rsid w:val="000C74B3"/>
    <w:rsid w:val="000D4A6B"/>
    <w:rsid w:val="000E200A"/>
    <w:rsid w:val="00127ED0"/>
    <w:rsid w:val="00147DB1"/>
    <w:rsid w:val="00175CF6"/>
    <w:rsid w:val="001B5A2D"/>
    <w:rsid w:val="00202DE2"/>
    <w:rsid w:val="00290E29"/>
    <w:rsid w:val="00293F7B"/>
    <w:rsid w:val="002B59B0"/>
    <w:rsid w:val="002C06BA"/>
    <w:rsid w:val="00324646"/>
    <w:rsid w:val="00330D8C"/>
    <w:rsid w:val="00364377"/>
    <w:rsid w:val="003874F6"/>
    <w:rsid w:val="003E0B03"/>
    <w:rsid w:val="00436585"/>
    <w:rsid w:val="00437C60"/>
    <w:rsid w:val="004D70C7"/>
    <w:rsid w:val="00587D4F"/>
    <w:rsid w:val="006F0364"/>
    <w:rsid w:val="007770BE"/>
    <w:rsid w:val="00815F35"/>
    <w:rsid w:val="00822734"/>
    <w:rsid w:val="008E39A9"/>
    <w:rsid w:val="0091379A"/>
    <w:rsid w:val="0092367E"/>
    <w:rsid w:val="00951F9E"/>
    <w:rsid w:val="009912F3"/>
    <w:rsid w:val="009B0E1F"/>
    <w:rsid w:val="009B6CBA"/>
    <w:rsid w:val="00A01A7D"/>
    <w:rsid w:val="00A1146D"/>
    <w:rsid w:val="00A2719E"/>
    <w:rsid w:val="00AC5FDD"/>
    <w:rsid w:val="00AD0480"/>
    <w:rsid w:val="00AD5D5D"/>
    <w:rsid w:val="00BC7986"/>
    <w:rsid w:val="00CD176F"/>
    <w:rsid w:val="00D521A9"/>
    <w:rsid w:val="00D63CAB"/>
    <w:rsid w:val="00DD67E2"/>
    <w:rsid w:val="00E3523B"/>
    <w:rsid w:val="00E57134"/>
    <w:rsid w:val="00EC2816"/>
    <w:rsid w:val="00F21322"/>
    <w:rsid w:val="00F55D50"/>
    <w:rsid w:val="00F7535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4022F"/>
  <w15:chartTrackingRefBased/>
  <w15:docId w15:val="{729D5AD8-838A-462C-800A-613D9B8B7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55D50"/>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F55D50"/>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
    <w:name w:val="Body Text"/>
    <w:basedOn w:val="Norml"/>
    <w:link w:val="SzvegtrzsChar"/>
    <w:unhideWhenUsed/>
    <w:rsid w:val="00F55D50"/>
    <w:pPr>
      <w:suppressAutoHyphens/>
      <w:spacing w:before="120" w:after="120" w:line="100" w:lineRule="atLeast"/>
      <w:ind w:left="567"/>
      <w:jc w:val="both"/>
    </w:pPr>
    <w:rPr>
      <w:rFonts w:ascii="Times New Roman" w:eastAsia="Times New Roman" w:hAnsi="Times New Roman" w:cs="Times New Roman"/>
      <w:sz w:val="24"/>
      <w:szCs w:val="24"/>
      <w:lang w:eastAsia="ar-SA"/>
    </w:rPr>
  </w:style>
  <w:style w:type="character" w:customStyle="1" w:styleId="SzvegtrzsChar">
    <w:name w:val="Szövegtörzs Char"/>
    <w:basedOn w:val="Bekezdsalapbettpusa"/>
    <w:link w:val="Szvegtrzs"/>
    <w:rsid w:val="00F55D50"/>
    <w:rPr>
      <w:rFonts w:ascii="Times New Roman" w:eastAsia="Times New Roman" w:hAnsi="Times New Roman" w:cs="Times New Roman"/>
      <w:sz w:val="24"/>
      <w:szCs w:val="24"/>
      <w:lang w:eastAsia="ar-SA"/>
    </w:rPr>
  </w:style>
  <w:style w:type="paragraph" w:styleId="Listaszerbekezds">
    <w:name w:val="List Paragraph"/>
    <w:basedOn w:val="Norml"/>
    <w:uiPriority w:val="34"/>
    <w:qFormat/>
    <w:rsid w:val="00E3523B"/>
    <w:pPr>
      <w:ind w:left="720"/>
      <w:contextualSpacing/>
    </w:pPr>
  </w:style>
  <w:style w:type="paragraph" w:styleId="Buborkszveg">
    <w:name w:val="Balloon Text"/>
    <w:basedOn w:val="Norml"/>
    <w:link w:val="BuborkszvegChar"/>
    <w:uiPriority w:val="99"/>
    <w:semiHidden/>
    <w:unhideWhenUsed/>
    <w:rsid w:val="004D70C7"/>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D70C7"/>
    <w:rPr>
      <w:rFonts w:ascii="Segoe UI" w:hAnsi="Segoe UI" w:cs="Segoe UI"/>
      <w:sz w:val="18"/>
      <w:szCs w:val="18"/>
    </w:rPr>
  </w:style>
  <w:style w:type="character" w:styleId="Jegyzethivatkozs">
    <w:name w:val="annotation reference"/>
    <w:basedOn w:val="Bekezdsalapbettpusa"/>
    <w:uiPriority w:val="99"/>
    <w:semiHidden/>
    <w:unhideWhenUsed/>
    <w:rsid w:val="004D70C7"/>
    <w:rPr>
      <w:sz w:val="16"/>
      <w:szCs w:val="16"/>
    </w:rPr>
  </w:style>
  <w:style w:type="paragraph" w:styleId="Jegyzetszveg">
    <w:name w:val="annotation text"/>
    <w:basedOn w:val="Norml"/>
    <w:link w:val="JegyzetszvegChar"/>
    <w:uiPriority w:val="99"/>
    <w:unhideWhenUsed/>
    <w:rsid w:val="004D70C7"/>
    <w:pPr>
      <w:spacing w:line="240" w:lineRule="auto"/>
    </w:pPr>
    <w:rPr>
      <w:sz w:val="20"/>
      <w:szCs w:val="20"/>
    </w:rPr>
  </w:style>
  <w:style w:type="character" w:customStyle="1" w:styleId="JegyzetszvegChar">
    <w:name w:val="Jegyzetszöveg Char"/>
    <w:basedOn w:val="Bekezdsalapbettpusa"/>
    <w:link w:val="Jegyzetszveg"/>
    <w:uiPriority w:val="99"/>
    <w:rsid w:val="004D70C7"/>
    <w:rPr>
      <w:sz w:val="20"/>
      <w:szCs w:val="20"/>
    </w:rPr>
  </w:style>
  <w:style w:type="paragraph" w:styleId="Megjegyzstrgya">
    <w:name w:val="annotation subject"/>
    <w:basedOn w:val="Jegyzetszveg"/>
    <w:next w:val="Jegyzetszveg"/>
    <w:link w:val="MegjegyzstrgyaChar"/>
    <w:uiPriority w:val="99"/>
    <w:semiHidden/>
    <w:unhideWhenUsed/>
    <w:rsid w:val="004D70C7"/>
    <w:rPr>
      <w:b/>
      <w:bCs/>
    </w:rPr>
  </w:style>
  <w:style w:type="character" w:customStyle="1" w:styleId="MegjegyzstrgyaChar">
    <w:name w:val="Megjegyzés tárgya Char"/>
    <w:basedOn w:val="JegyzetszvegChar"/>
    <w:link w:val="Megjegyzstrgya"/>
    <w:uiPriority w:val="99"/>
    <w:semiHidden/>
    <w:rsid w:val="004D70C7"/>
    <w:rPr>
      <w:b/>
      <w:bCs/>
      <w:sz w:val="20"/>
      <w:szCs w:val="20"/>
    </w:rPr>
  </w:style>
  <w:style w:type="paragraph" w:styleId="Vltozat">
    <w:name w:val="Revision"/>
    <w:hidden/>
    <w:uiPriority w:val="99"/>
    <w:semiHidden/>
    <w:rsid w:val="00290E29"/>
    <w:pPr>
      <w:spacing w:after="0" w:line="240" w:lineRule="auto"/>
    </w:pPr>
  </w:style>
  <w:style w:type="character" w:styleId="Hiperhivatkozs">
    <w:name w:val="Hyperlink"/>
    <w:basedOn w:val="Bekezdsalapbettpusa"/>
    <w:uiPriority w:val="99"/>
    <w:unhideWhenUsed/>
    <w:rsid w:val="003E0B03"/>
    <w:rPr>
      <w:color w:val="0563C1" w:themeColor="hyperlink"/>
      <w:u w:val="single"/>
    </w:rPr>
  </w:style>
  <w:style w:type="character" w:styleId="Feloldatlanmegemlts">
    <w:name w:val="Unresolved Mention"/>
    <w:basedOn w:val="Bekezdsalapbettpusa"/>
    <w:uiPriority w:val="99"/>
    <w:semiHidden/>
    <w:unhideWhenUsed/>
    <w:rsid w:val="003E0B03"/>
    <w:rPr>
      <w:color w:val="605E5C"/>
      <w:shd w:val="clear" w:color="auto" w:fill="E1DFDD"/>
    </w:rPr>
  </w:style>
  <w:style w:type="paragraph" w:styleId="lfej">
    <w:name w:val="header"/>
    <w:basedOn w:val="Norml"/>
    <w:link w:val="lfejChar"/>
    <w:uiPriority w:val="99"/>
    <w:unhideWhenUsed/>
    <w:rsid w:val="001B5A2D"/>
    <w:pPr>
      <w:tabs>
        <w:tab w:val="center" w:pos="4536"/>
        <w:tab w:val="right" w:pos="9072"/>
      </w:tabs>
      <w:spacing w:after="0" w:line="240" w:lineRule="auto"/>
    </w:pPr>
  </w:style>
  <w:style w:type="character" w:customStyle="1" w:styleId="lfejChar">
    <w:name w:val="Élőfej Char"/>
    <w:basedOn w:val="Bekezdsalapbettpusa"/>
    <w:link w:val="lfej"/>
    <w:uiPriority w:val="99"/>
    <w:rsid w:val="001B5A2D"/>
  </w:style>
  <w:style w:type="paragraph" w:styleId="llb">
    <w:name w:val="footer"/>
    <w:basedOn w:val="Norml"/>
    <w:link w:val="llbChar"/>
    <w:uiPriority w:val="99"/>
    <w:unhideWhenUsed/>
    <w:rsid w:val="001B5A2D"/>
    <w:pPr>
      <w:tabs>
        <w:tab w:val="center" w:pos="4536"/>
        <w:tab w:val="right" w:pos="9072"/>
      </w:tabs>
      <w:spacing w:after="0" w:line="240" w:lineRule="auto"/>
    </w:pPr>
  </w:style>
  <w:style w:type="character" w:customStyle="1" w:styleId="llbChar">
    <w:name w:val="Élőláb Char"/>
    <w:basedOn w:val="Bekezdsalapbettpusa"/>
    <w:link w:val="llb"/>
    <w:uiPriority w:val="99"/>
    <w:rsid w:val="001B5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gazdasagi@semmelweis.h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C2499-56AD-4FCF-9156-CC88CF9E5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1179</Words>
  <Characters>8136</Characters>
  <Application>Microsoft Office Word</Application>
  <DocSecurity>4</DocSecurity>
  <Lines>67</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Bodolósz Fanni</dc:creator>
  <cp:keywords/>
  <dc:description/>
  <cp:lastModifiedBy>Dr. Erdős Ildikó</cp:lastModifiedBy>
  <cp:revision>2</cp:revision>
  <dcterms:created xsi:type="dcterms:W3CDTF">2022-11-06T20:29:00Z</dcterms:created>
  <dcterms:modified xsi:type="dcterms:W3CDTF">2022-11-06T20:29:00Z</dcterms:modified>
</cp:coreProperties>
</file>