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FC" w:rsidRDefault="00C629FC" w:rsidP="0070720F">
      <w:pPr>
        <w:rPr>
          <w:rFonts w:ascii="Times New Roman" w:hAnsi="Times New Roman"/>
          <w:b/>
          <w:caps/>
          <w:sz w:val="28"/>
          <w:szCs w:val="28"/>
          <w:lang w:val="hu-HU"/>
        </w:rPr>
      </w:pPr>
      <w:bookmarkStart w:id="0" w:name="_GoBack"/>
      <w:bookmarkEnd w:id="0"/>
    </w:p>
    <w:p w:rsidR="0070720F" w:rsidRPr="00D66251" w:rsidRDefault="0070720F" w:rsidP="0070720F">
      <w:pPr>
        <w:rPr>
          <w:rFonts w:ascii="Times New Roman" w:hAnsi="Times New Roman"/>
          <w:b/>
          <w:caps/>
          <w:sz w:val="28"/>
          <w:szCs w:val="28"/>
          <w:lang w:val="hu-HU"/>
        </w:rPr>
      </w:pPr>
      <w:r w:rsidRPr="00D66251">
        <w:rPr>
          <w:rFonts w:ascii="Times New Roman" w:hAnsi="Times New Roman"/>
          <w:b/>
          <w:caps/>
          <w:sz w:val="28"/>
          <w:szCs w:val="28"/>
          <w:lang w:val="hu-HU"/>
        </w:rPr>
        <w:t>Semmelweis Egyetem</w:t>
      </w:r>
    </w:p>
    <w:p w:rsidR="0070720F" w:rsidRPr="00D66251" w:rsidRDefault="0070720F" w:rsidP="0070720F">
      <w:pPr>
        <w:rPr>
          <w:rFonts w:ascii="Times New Roman" w:hAnsi="Times New Roman"/>
          <w:b/>
          <w:smallCaps/>
          <w:sz w:val="28"/>
          <w:szCs w:val="28"/>
          <w:lang w:val="hu-HU"/>
        </w:rPr>
      </w:pPr>
      <w:r w:rsidRPr="00D66251">
        <w:rPr>
          <w:rFonts w:ascii="Times New Roman" w:hAnsi="Times New Roman"/>
          <w:b/>
          <w:smallCaps/>
          <w:sz w:val="28"/>
          <w:szCs w:val="28"/>
          <w:lang w:val="hu-HU"/>
        </w:rPr>
        <w:t>Habilitációs Bizottsága</w:t>
      </w:r>
    </w:p>
    <w:p w:rsidR="0070720F" w:rsidRPr="00D66251" w:rsidRDefault="0070720F" w:rsidP="0070720F">
      <w:pPr>
        <w:rPr>
          <w:rFonts w:ascii="Times New Roman" w:hAnsi="Times New Roman"/>
          <w:sz w:val="24"/>
          <w:szCs w:val="24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4"/>
          <w:szCs w:val="24"/>
          <w:lang w:val="hu-HU"/>
        </w:rPr>
      </w:pPr>
    </w:p>
    <w:p w:rsidR="0070720F" w:rsidRPr="00D66251" w:rsidRDefault="0070720F" w:rsidP="0070720F">
      <w:pPr>
        <w:jc w:val="center"/>
        <w:rPr>
          <w:b/>
          <w:smallCaps/>
          <w:sz w:val="32"/>
          <w:szCs w:val="32"/>
          <w:lang w:val="hu-HU"/>
        </w:rPr>
      </w:pPr>
    </w:p>
    <w:p w:rsidR="0070720F" w:rsidRPr="00D66251" w:rsidRDefault="0070720F" w:rsidP="0070720F">
      <w:pPr>
        <w:jc w:val="center"/>
        <w:rPr>
          <w:rFonts w:ascii="Times New Roman" w:hAnsi="Times New Roman"/>
          <w:b/>
          <w:caps/>
          <w:spacing w:val="30"/>
          <w:sz w:val="32"/>
          <w:szCs w:val="32"/>
          <w:lang w:val="hu-HU"/>
        </w:rPr>
      </w:pPr>
      <w:r w:rsidRPr="00D66251">
        <w:rPr>
          <w:rFonts w:ascii="Times New Roman" w:hAnsi="Times New Roman"/>
          <w:b/>
          <w:caps/>
          <w:spacing w:val="30"/>
          <w:sz w:val="32"/>
          <w:szCs w:val="32"/>
          <w:lang w:val="hu-HU"/>
        </w:rPr>
        <w:t>tudományos kollokvium</w:t>
      </w:r>
    </w:p>
    <w:p w:rsidR="0070720F" w:rsidRPr="00D66251" w:rsidRDefault="0070720F" w:rsidP="0070720F">
      <w:pPr>
        <w:jc w:val="center"/>
        <w:rPr>
          <w:rFonts w:ascii="Times New Roman" w:hAnsi="Times New Roman"/>
          <w:b/>
          <w:caps/>
          <w:spacing w:val="30"/>
          <w:sz w:val="32"/>
          <w:szCs w:val="32"/>
          <w:lang w:val="hu-HU"/>
        </w:rPr>
      </w:pPr>
      <w:r w:rsidRPr="00D66251">
        <w:rPr>
          <w:rFonts w:ascii="Times New Roman" w:hAnsi="Times New Roman"/>
          <w:b/>
          <w:caps/>
          <w:spacing w:val="30"/>
          <w:sz w:val="32"/>
          <w:szCs w:val="32"/>
          <w:lang w:val="hu-HU"/>
        </w:rPr>
        <w:t>forgatókönyve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C629FC" w:rsidRDefault="0070720F" w:rsidP="00C629FC">
      <w:pPr>
        <w:spacing w:before="100" w:beforeAutospacing="1"/>
        <w:rPr>
          <w:rFonts w:ascii="Times New Roman" w:hAnsi="Times New Roman"/>
          <w:b/>
          <w:caps/>
          <w:sz w:val="28"/>
          <w:szCs w:val="28"/>
          <w:lang w:val="hu-HU"/>
        </w:rPr>
      </w:pPr>
      <w:r w:rsidRPr="00C629FC">
        <w:rPr>
          <w:rFonts w:ascii="Times New Roman" w:hAnsi="Times New Roman"/>
          <w:b/>
          <w:caps/>
          <w:sz w:val="28"/>
          <w:szCs w:val="28"/>
          <w:lang w:val="hu-HU"/>
        </w:rPr>
        <w:t>I. Zárt ülés a nyilvános vita előtt</w:t>
      </w:r>
    </w:p>
    <w:p w:rsidR="0070720F" w:rsidRPr="00C629FC" w:rsidRDefault="0070720F" w:rsidP="0070720F">
      <w:pPr>
        <w:rPr>
          <w:rFonts w:ascii="Times New Roman" w:hAnsi="Times New Roman"/>
          <w:sz w:val="24"/>
          <w:szCs w:val="24"/>
          <w:lang w:val="hu-HU"/>
        </w:rPr>
      </w:pPr>
    </w:p>
    <w:p w:rsidR="0070720F" w:rsidRPr="00D66251" w:rsidRDefault="0070720F" w:rsidP="0070720F">
      <w:pPr>
        <w:ind w:left="720" w:hanging="720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 w:rsidRPr="00D66251">
        <w:rPr>
          <w:rFonts w:ascii="Times New Roman" w:hAnsi="Times New Roman"/>
          <w:sz w:val="24"/>
          <w:lang w:val="hu-HU"/>
        </w:rPr>
        <w:t xml:space="preserve"> Megállapítja, hogy a tanácskozás lefolytatható-e, a szakértőbizottság tagjai megjelentek-e; kialakítja a bizottság álláspontját arról, hogy a nyilvános vitát lefolytathatják-e, vagy – ha annak törvényes akadálya lenne – elhalasztja-e, és ha igen, mikorra. </w:t>
      </w:r>
      <w:r w:rsidRPr="00D66251">
        <w:rPr>
          <w:rFonts w:ascii="Times New Roman" w:hAnsi="Times New Roman"/>
          <w:i/>
          <w:sz w:val="24"/>
          <w:lang w:val="hu-HU"/>
        </w:rPr>
        <w:t>(A kollokvium csak akkor tartható meg, ha a szakértőbizottságnak legalább 5 tagja jelen van.)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sz w:val="24"/>
          <w:lang w:val="hu-HU"/>
        </w:rPr>
        <w:t xml:space="preserve">A szakértőbizottságnak a Habilitációs Bizottság elnöke által referálásra felkért két tagja a kollokvium előtti zárt ülésen röviden ismerteti a tézisekben szereplő lényeges új megállapításokat és esetleges lényegi kifogásait. A referensi vélemények alapján a bizottság megfogalmazza a bizottsági kérdéseket. </w:t>
      </w:r>
      <w:r w:rsidRPr="00D66251">
        <w:rPr>
          <w:rFonts w:ascii="Times New Roman" w:hAnsi="Times New Roman"/>
          <w:i/>
          <w:sz w:val="24"/>
          <w:lang w:val="hu-HU"/>
        </w:rPr>
        <w:t>(A referensi véleményeket a jegyzőkönyvhöz mellékelni kell.)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C629FC" w:rsidRDefault="0070720F" w:rsidP="00C629FC">
      <w:pPr>
        <w:spacing w:before="100" w:beforeAutospacing="1"/>
        <w:rPr>
          <w:rFonts w:ascii="Times New Roman" w:hAnsi="Times New Roman"/>
          <w:b/>
          <w:caps/>
          <w:sz w:val="28"/>
          <w:szCs w:val="28"/>
          <w:lang w:val="hu-HU"/>
        </w:rPr>
      </w:pPr>
      <w:r w:rsidRPr="00C629FC">
        <w:rPr>
          <w:rFonts w:ascii="Times New Roman" w:hAnsi="Times New Roman"/>
          <w:b/>
          <w:caps/>
          <w:sz w:val="28"/>
          <w:szCs w:val="28"/>
          <w:lang w:val="hu-HU"/>
        </w:rPr>
        <w:t>II. A nyilvános vita</w:t>
      </w:r>
    </w:p>
    <w:p w:rsidR="0070720F" w:rsidRPr="00C629FC" w:rsidRDefault="0070720F" w:rsidP="0070720F">
      <w:pPr>
        <w:rPr>
          <w:rFonts w:ascii="Times New Roman" w:hAnsi="Times New Roman"/>
          <w:sz w:val="24"/>
          <w:szCs w:val="24"/>
          <w:lang w:val="hu-HU"/>
        </w:rPr>
      </w:pPr>
    </w:p>
    <w:p w:rsidR="0070720F" w:rsidRPr="00D66251" w:rsidRDefault="0070720F" w:rsidP="0070720F">
      <w:pPr>
        <w:ind w:left="720" w:hanging="720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 w:rsidRPr="00D66251">
        <w:rPr>
          <w:rFonts w:ascii="Times New Roman" w:hAnsi="Times New Roman"/>
          <w:sz w:val="24"/>
          <w:lang w:val="hu-HU"/>
        </w:rPr>
        <w:t xml:space="preserve"> A vitát megnyitja és bejelenti, hogy a Semmelweis Egyetem Habilitációs Bizottsága nyilvános vitára tűzte ki 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…………………………………………………..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sz w:val="24"/>
          <w:lang w:val="hu-HU"/>
        </w:rPr>
        <w:t>tudományos munkásságának téziseit.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sz w:val="24"/>
          <w:lang w:val="hu-HU"/>
        </w:rPr>
        <w:t xml:space="preserve">Bejelenti, hogy a Habilitációs Bizottság az alábbi szakértőbizottságot jelölte ki: 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 w:firstLine="720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sz w:val="24"/>
          <w:lang w:val="hu-HU"/>
        </w:rPr>
        <w:t>Elnök:</w:t>
      </w:r>
    </w:p>
    <w:p w:rsidR="0070720F" w:rsidRPr="00D66251" w:rsidRDefault="0070720F" w:rsidP="0070720F">
      <w:pPr>
        <w:ind w:left="1440"/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ind w:left="1440"/>
        <w:rPr>
          <w:rFonts w:ascii="Times New Roman" w:hAnsi="Times New Roman"/>
          <w:sz w:val="26"/>
          <w:lang w:val="hu-HU"/>
        </w:rPr>
      </w:pPr>
      <w:r w:rsidRPr="00D66251">
        <w:rPr>
          <w:rFonts w:ascii="Times New Roman" w:hAnsi="Times New Roman"/>
          <w:sz w:val="26"/>
          <w:lang w:val="hu-HU"/>
        </w:rPr>
        <w:t xml:space="preserve">Tagok: 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pStyle w:val="Szvegtrzsbehzssal"/>
        <w:rPr>
          <w:rFonts w:ascii="Times New Roman" w:hAnsi="Times New Roman"/>
          <w:lang w:val="hu-HU"/>
        </w:rPr>
      </w:pPr>
      <w:r w:rsidRPr="00D66251">
        <w:rPr>
          <w:rFonts w:ascii="Times New Roman" w:hAnsi="Times New Roman"/>
          <w:lang w:val="hu-HU"/>
        </w:rPr>
        <w:t xml:space="preserve">Megállapítja, hogy a vita lefolytatható, a szakértő bírálóbizottság tagjai elégséges számban vannak jelen. </w:t>
      </w:r>
    </w:p>
    <w:p w:rsidR="0070720F" w:rsidRPr="00D66251" w:rsidRDefault="0070720F" w:rsidP="0070720F">
      <w:pPr>
        <w:pStyle w:val="Szvegtrzsbehzssal"/>
        <w:rPr>
          <w:rFonts w:ascii="Times New Roman" w:hAnsi="Times New Roman"/>
          <w:lang w:val="hu-HU"/>
        </w:rPr>
      </w:pPr>
      <w:r w:rsidRPr="00D66251">
        <w:rPr>
          <w:rFonts w:ascii="Times New Roman" w:hAnsi="Times New Roman"/>
          <w:lang w:val="hu-HU"/>
        </w:rPr>
        <w:lastRenderedPageBreak/>
        <w:t>Ezek után felteszi a kérdést a bizottsághoz, hogy a vita megkezdésével kapcsolatban van-e kérdésük, megjegyzésük; valamint a jelölthöz, hogy van-e kifogása elfogultság vagy összeférhetetlenség tekintetében a szakértőbizottság ellen; ha nincs, az érdemi munkához kezd a bizottság.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Titkár:</w:t>
      </w:r>
      <w:r w:rsidRPr="00D66251">
        <w:rPr>
          <w:rFonts w:ascii="Times New Roman" w:hAnsi="Times New Roman"/>
          <w:sz w:val="24"/>
          <w:lang w:val="hu-HU"/>
        </w:rPr>
        <w:t xml:space="preserve"> Felolvassa a jelölt szakmai önéletrajzát. 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 w:hanging="720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 w:rsidRPr="00D66251">
        <w:rPr>
          <w:rFonts w:ascii="Times New Roman" w:hAnsi="Times New Roman"/>
          <w:sz w:val="24"/>
          <w:lang w:val="hu-HU"/>
        </w:rPr>
        <w:t> Felkéri a jelöltet, hogy tömören maximum 20 percben fejtse ki – szabadelőadásban – megvédésre kerülő munkájának főbb tételeit.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 w:rsidRPr="00D66251">
        <w:rPr>
          <w:rFonts w:ascii="Times New Roman" w:hAnsi="Times New Roman"/>
          <w:sz w:val="24"/>
          <w:lang w:val="hu-HU"/>
        </w:rPr>
        <w:t xml:space="preserve"> Felkéri a bizottság titkárát a bizottsági kérdések ismertetésére.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 w:hanging="720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>
        <w:rPr>
          <w:rFonts w:ascii="Times New Roman" w:hAnsi="Times New Roman"/>
          <w:sz w:val="24"/>
          <w:lang w:val="hu-HU"/>
        </w:rPr>
        <w:tab/>
      </w:r>
      <w:r w:rsidRPr="00D66251">
        <w:rPr>
          <w:rFonts w:ascii="Times New Roman" w:hAnsi="Times New Roman"/>
          <w:sz w:val="24"/>
          <w:lang w:val="hu-HU"/>
        </w:rPr>
        <w:t>Felteszi a kérdést, kíván-e valaki a jelenlevők közül kérdést intézni a jelölthöz, vagy hozzászólást tenni. Egyben felhívja a figyelmet arra, hogy a kérdezőknek egyszeri viszontválaszra van joguk.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ind w:left="720" w:hanging="720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>
        <w:rPr>
          <w:rFonts w:ascii="Times New Roman" w:hAnsi="Times New Roman"/>
          <w:sz w:val="24"/>
          <w:lang w:val="hu-HU"/>
        </w:rPr>
        <w:tab/>
      </w:r>
      <w:r w:rsidRPr="00D66251">
        <w:rPr>
          <w:rFonts w:ascii="Times New Roman" w:hAnsi="Times New Roman"/>
          <w:sz w:val="24"/>
          <w:lang w:val="hu-HU"/>
        </w:rPr>
        <w:t>A kérdések és hozzászólások elhangzása után felkéri a jelöltet, hogy válaszoljon azokra. A jelölt egyszerre, vagy külön-kölön válaszolhat, állításának igazolására könyvet és más segédeszközt használhat.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D66251" w:rsidRDefault="0070720F" w:rsidP="0070720F">
      <w:pPr>
        <w:ind w:left="720" w:hanging="720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Elnök:</w:t>
      </w:r>
      <w:r w:rsidRPr="00D66251">
        <w:rPr>
          <w:rFonts w:ascii="Times New Roman" w:hAnsi="Times New Roman"/>
          <w:sz w:val="24"/>
          <w:lang w:val="hu-HU"/>
        </w:rPr>
        <w:t xml:space="preserve"> A jelölt válasza, és az esetleges viszontválaszok után a vitát berekeszti és bejelenti, hogy a bizottság határozathozatalra visszavonul.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jc w:val="both"/>
        <w:rPr>
          <w:rFonts w:ascii="Times New Roman" w:hAnsi="Times New Roman"/>
          <w:i/>
          <w:sz w:val="24"/>
          <w:lang w:val="hu-HU"/>
        </w:rPr>
      </w:pPr>
      <w:r w:rsidRPr="00D66251">
        <w:rPr>
          <w:rFonts w:ascii="Times New Roman" w:hAnsi="Times New Roman"/>
          <w:i/>
          <w:sz w:val="24"/>
          <w:lang w:val="hu-HU"/>
        </w:rPr>
        <w:t>(A vitát az elnök indokolt esetben felfüggesztheti. A felfüggesztés okát, továbbá a vita folytatásának időpontját és helyét a jelenlevők előtt ki kell hirdetni.)</w:t>
      </w:r>
    </w:p>
    <w:p w:rsidR="0070720F" w:rsidRPr="00D66251" w:rsidRDefault="0070720F" w:rsidP="0070720F">
      <w:pPr>
        <w:rPr>
          <w:rFonts w:ascii="Times New Roman" w:hAnsi="Times New Roman"/>
          <w:sz w:val="26"/>
          <w:lang w:val="hu-HU"/>
        </w:rPr>
      </w:pPr>
    </w:p>
    <w:p w:rsidR="0070720F" w:rsidRPr="00C629FC" w:rsidRDefault="0070720F" w:rsidP="00C629FC">
      <w:pPr>
        <w:spacing w:before="100" w:beforeAutospacing="1"/>
        <w:rPr>
          <w:rFonts w:ascii="Times New Roman" w:hAnsi="Times New Roman"/>
          <w:b/>
          <w:caps/>
          <w:sz w:val="28"/>
          <w:szCs w:val="28"/>
          <w:lang w:val="hu-HU"/>
        </w:rPr>
      </w:pPr>
      <w:r w:rsidRPr="00C629FC">
        <w:rPr>
          <w:rFonts w:ascii="Times New Roman" w:hAnsi="Times New Roman"/>
          <w:b/>
          <w:caps/>
          <w:sz w:val="28"/>
          <w:szCs w:val="28"/>
          <w:lang w:val="hu-HU"/>
        </w:rPr>
        <w:t>III. Zárt ülés a nyilvános vita után</w:t>
      </w:r>
    </w:p>
    <w:p w:rsidR="00C629FC" w:rsidRDefault="00C629FC" w:rsidP="00C629FC">
      <w:pPr>
        <w:pStyle w:val="Szvegtrzsbehzssal2"/>
        <w:ind w:firstLine="0"/>
        <w:rPr>
          <w:rFonts w:ascii="Times New Roman" w:hAnsi="Times New Roman"/>
          <w:i w:val="0"/>
          <w:lang w:val="hu-HU"/>
        </w:rPr>
      </w:pPr>
    </w:p>
    <w:p w:rsidR="0070720F" w:rsidRPr="00D66251" w:rsidRDefault="0070720F" w:rsidP="0070720F">
      <w:pPr>
        <w:pStyle w:val="Szvegtrzsbehzssal2"/>
        <w:spacing w:after="120"/>
        <w:ind w:firstLine="0"/>
        <w:rPr>
          <w:rFonts w:ascii="Times New Roman" w:hAnsi="Times New Roman"/>
          <w:i w:val="0"/>
          <w:lang w:val="hu-HU"/>
        </w:rPr>
      </w:pPr>
      <w:r>
        <w:rPr>
          <w:rFonts w:ascii="Times New Roman" w:hAnsi="Times New Roman"/>
          <w:i w:val="0"/>
          <w:lang w:val="hu-HU"/>
        </w:rPr>
        <w:t>A szakértőbizottság –</w:t>
      </w:r>
      <w:r w:rsidRPr="00D66251">
        <w:rPr>
          <w:rFonts w:ascii="Times New Roman" w:hAnsi="Times New Roman"/>
          <w:i w:val="0"/>
          <w:lang w:val="hu-HU"/>
        </w:rPr>
        <w:t xml:space="preserve"> tanácskozás után </w:t>
      </w:r>
      <w:r>
        <w:rPr>
          <w:rFonts w:ascii="Times New Roman" w:hAnsi="Times New Roman"/>
          <w:i w:val="0"/>
          <w:lang w:val="hu-HU"/>
        </w:rPr>
        <w:t>–</w:t>
      </w:r>
      <w:r w:rsidRPr="00D66251">
        <w:rPr>
          <w:rFonts w:ascii="Times New Roman" w:hAnsi="Times New Roman"/>
          <w:i w:val="0"/>
          <w:lang w:val="hu-HU"/>
        </w:rPr>
        <w:t xml:space="preserve"> dönt arról, hogy felmerült-e olyan</w:t>
      </w:r>
      <w:r>
        <w:rPr>
          <w:rFonts w:ascii="Times New Roman" w:hAnsi="Times New Roman"/>
          <w:i w:val="0"/>
          <w:lang w:val="hu-HU"/>
        </w:rPr>
        <w:t xml:space="preserve"> kérdés, ami indokolja, hogy a </w:t>
      </w:r>
      <w:r w:rsidRPr="00170407">
        <w:rPr>
          <w:rFonts w:ascii="Times New Roman" w:hAnsi="Times New Roman"/>
          <w:i w:val="0"/>
          <w:lang w:val="hu-HU"/>
        </w:rPr>
        <w:t>b</w:t>
      </w:r>
      <w:r w:rsidRPr="00D66251">
        <w:rPr>
          <w:rFonts w:ascii="Times New Roman" w:hAnsi="Times New Roman"/>
          <w:i w:val="0"/>
          <w:lang w:val="hu-HU"/>
        </w:rPr>
        <w:t>izottság elnöke meghívja és meghallgassa zárt ülésen a jelöltet. A zárt ülés a nyilvános vita általános értékelésével kezdődik, különös figyelemmel a referensek véleményére, és a jelölt válaszaira. Ennek befejeztével az elnök titkos szavazást rendel el, 0</w:t>
      </w:r>
      <w:r>
        <w:rPr>
          <w:rFonts w:ascii="Times New Roman" w:hAnsi="Times New Roman"/>
          <w:i w:val="0"/>
          <w:lang w:val="hu-HU"/>
        </w:rPr>
        <w:t>–</w:t>
      </w:r>
      <w:r w:rsidRPr="00D66251">
        <w:rPr>
          <w:rFonts w:ascii="Times New Roman" w:hAnsi="Times New Roman"/>
          <w:i w:val="0"/>
          <w:lang w:val="hu-HU"/>
        </w:rPr>
        <w:t>1</w:t>
      </w:r>
      <w:r>
        <w:rPr>
          <w:rFonts w:ascii="Times New Roman" w:hAnsi="Times New Roman"/>
          <w:i w:val="0"/>
          <w:lang w:val="hu-HU"/>
        </w:rPr>
        <w:t>–2–</w:t>
      </w:r>
      <w:r w:rsidRPr="00D66251">
        <w:rPr>
          <w:rFonts w:ascii="Times New Roman" w:hAnsi="Times New Roman"/>
          <w:i w:val="0"/>
          <w:lang w:val="hu-HU"/>
        </w:rPr>
        <w:t>3 értékű pontszámmal.</w:t>
      </w:r>
    </w:p>
    <w:p w:rsidR="0070720F" w:rsidRPr="00D66251" w:rsidRDefault="0070720F" w:rsidP="0070720F">
      <w:pPr>
        <w:spacing w:after="120"/>
        <w:jc w:val="both"/>
        <w:rPr>
          <w:rFonts w:ascii="Times New Roman" w:hAnsi="Times New Roman"/>
          <w:i/>
          <w:sz w:val="24"/>
          <w:lang w:val="hu-HU"/>
        </w:rPr>
      </w:pPr>
      <w:r w:rsidRPr="00D66251">
        <w:rPr>
          <w:rFonts w:ascii="Times New Roman" w:hAnsi="Times New Roman"/>
          <w:sz w:val="24"/>
          <w:lang w:val="hu-HU"/>
        </w:rPr>
        <w:t>A pontszám a munka értékelését fejti ki, figyelembe</w:t>
      </w:r>
      <w:r>
        <w:rPr>
          <w:rFonts w:ascii="Times New Roman" w:hAnsi="Times New Roman"/>
          <w:sz w:val="24"/>
          <w:lang w:val="hu-HU"/>
        </w:rPr>
        <w:t xml:space="preserve"> </w:t>
      </w:r>
      <w:r w:rsidRPr="00D66251">
        <w:rPr>
          <w:rFonts w:ascii="Times New Roman" w:hAnsi="Times New Roman"/>
          <w:sz w:val="24"/>
          <w:lang w:val="hu-HU"/>
        </w:rPr>
        <w:t xml:space="preserve">véve annak szakmai megalapozottságát, újszerűségét, fontosságát, valamint azt, hogy milyen közleményekre épül, de nem a jelölt  teljes munkásságát (életművét) értékeli. A részletes indoklásnak az adott pontszámmal összhangban kell lennie. Ha a számszerű eredményt a habilitáció odaítéléséről, illetőleg az elutasításról az indoklás nem alapozza meg, ennek okait, az esetleges különvélemények feltüntetésével a jegyzőkönyvben rögzíteni kell. A tézisek elfogadását a </w:t>
      </w:r>
      <w:r>
        <w:rPr>
          <w:rFonts w:ascii="Times New Roman" w:hAnsi="Times New Roman"/>
          <w:sz w:val="24"/>
          <w:lang w:val="hu-HU"/>
        </w:rPr>
        <w:t>szakértőb</w:t>
      </w:r>
      <w:r w:rsidRPr="00D66251">
        <w:rPr>
          <w:rFonts w:ascii="Times New Roman" w:hAnsi="Times New Roman"/>
          <w:sz w:val="24"/>
          <w:lang w:val="hu-HU"/>
        </w:rPr>
        <w:t>izottság akkor javasolhatja, ha a pontok száma a jelenlevő bizottsági tagok által adható legnagyobb pontszám kétharmadát eléri.</w:t>
      </w:r>
    </w:p>
    <w:p w:rsidR="0070720F" w:rsidRPr="00D66251" w:rsidRDefault="0070720F" w:rsidP="0070720F">
      <w:pPr>
        <w:rPr>
          <w:rFonts w:ascii="Times New Roman" w:hAnsi="Times New Roman"/>
          <w:i/>
          <w:sz w:val="26"/>
          <w:lang w:val="hu-HU"/>
        </w:rPr>
      </w:pPr>
    </w:p>
    <w:p w:rsidR="0070720F" w:rsidRPr="00C629FC" w:rsidRDefault="0070720F" w:rsidP="00C629FC">
      <w:pPr>
        <w:spacing w:before="100" w:beforeAutospacing="1"/>
        <w:rPr>
          <w:rFonts w:ascii="Times New Roman" w:hAnsi="Times New Roman"/>
          <w:b/>
          <w:caps/>
          <w:sz w:val="28"/>
          <w:szCs w:val="28"/>
          <w:lang w:val="hu-HU"/>
        </w:rPr>
      </w:pPr>
      <w:r w:rsidRPr="00C629FC">
        <w:rPr>
          <w:rFonts w:ascii="Times New Roman" w:hAnsi="Times New Roman"/>
          <w:b/>
          <w:caps/>
          <w:sz w:val="28"/>
          <w:szCs w:val="28"/>
          <w:lang w:val="hu-HU"/>
        </w:rPr>
        <w:t>IV. A nyilvános vita lezárása</w:t>
      </w:r>
    </w:p>
    <w:p w:rsidR="0070720F" w:rsidRPr="00C629FC" w:rsidRDefault="0070720F" w:rsidP="0070720F">
      <w:pPr>
        <w:rPr>
          <w:rFonts w:ascii="Times New Roman" w:hAnsi="Times New Roman"/>
          <w:sz w:val="24"/>
          <w:szCs w:val="24"/>
          <w:lang w:val="hu-HU"/>
        </w:rPr>
      </w:pPr>
    </w:p>
    <w:p w:rsidR="0070720F" w:rsidRPr="00D66251" w:rsidRDefault="0070720F" w:rsidP="0070720F">
      <w:pPr>
        <w:ind w:left="567" w:hanging="567"/>
        <w:jc w:val="both"/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</w:t>
      </w:r>
      <w:r w:rsidRPr="00D66251">
        <w:rPr>
          <w:rFonts w:ascii="Times New Roman" w:hAnsi="Times New Roman"/>
          <w:sz w:val="24"/>
          <w:lang w:val="hu-HU"/>
        </w:rPr>
        <w:t>:</w:t>
      </w:r>
      <w:r>
        <w:rPr>
          <w:rFonts w:ascii="Times New Roman" w:hAnsi="Times New Roman"/>
          <w:sz w:val="24"/>
          <w:lang w:val="hu-HU"/>
        </w:rPr>
        <w:tab/>
      </w:r>
      <w:r w:rsidRPr="00D66251">
        <w:rPr>
          <w:rFonts w:ascii="Times New Roman" w:hAnsi="Times New Roman"/>
          <w:sz w:val="24"/>
          <w:lang w:val="hu-HU"/>
        </w:rPr>
        <w:t xml:space="preserve">Bejelenti, hogy a nyilvános ülést folytatja a </w:t>
      </w:r>
      <w:r>
        <w:rPr>
          <w:rFonts w:ascii="Times New Roman" w:hAnsi="Times New Roman"/>
          <w:sz w:val="24"/>
          <w:lang w:val="hu-HU"/>
        </w:rPr>
        <w:t>b</w:t>
      </w:r>
      <w:r w:rsidRPr="00D66251">
        <w:rPr>
          <w:rFonts w:ascii="Times New Roman" w:hAnsi="Times New Roman"/>
          <w:sz w:val="24"/>
          <w:lang w:val="hu-HU"/>
        </w:rPr>
        <w:t xml:space="preserve">izottság, majd ismerteti a titkos szavazás összesített pontszámát és a </w:t>
      </w:r>
      <w:r>
        <w:rPr>
          <w:rFonts w:ascii="Times New Roman" w:hAnsi="Times New Roman"/>
          <w:sz w:val="24"/>
          <w:lang w:val="hu-HU"/>
        </w:rPr>
        <w:t>b</w:t>
      </w:r>
      <w:r w:rsidRPr="00D66251">
        <w:rPr>
          <w:rFonts w:ascii="Times New Roman" w:hAnsi="Times New Roman"/>
          <w:sz w:val="24"/>
          <w:lang w:val="hu-HU"/>
        </w:rPr>
        <w:t xml:space="preserve">izottság javaslatát. </w:t>
      </w:r>
    </w:p>
    <w:p w:rsidR="0070720F" w:rsidRPr="00D66251" w:rsidRDefault="0070720F" w:rsidP="0070720F">
      <w:pPr>
        <w:pStyle w:val="Szvegtrzs"/>
        <w:ind w:left="567"/>
        <w:jc w:val="both"/>
        <w:rPr>
          <w:rFonts w:ascii="Times New Roman" w:hAnsi="Times New Roman"/>
          <w:sz w:val="24"/>
          <w:szCs w:val="24"/>
          <w:lang w:val="hu-HU"/>
        </w:rPr>
      </w:pPr>
      <w:r w:rsidRPr="00D66251">
        <w:rPr>
          <w:rFonts w:ascii="Times New Roman" w:hAnsi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szakértőb</w:t>
      </w:r>
      <w:r w:rsidRPr="00D66251">
        <w:rPr>
          <w:rFonts w:ascii="Times New Roman" w:hAnsi="Times New Roman"/>
          <w:sz w:val="24"/>
          <w:szCs w:val="24"/>
          <w:lang w:val="hu-HU"/>
        </w:rPr>
        <w:t>izottság állásfoglalását az elnök/titkár felolvassa. Az állásfoglalásnak a jelentős új tudományos megállapításokat, illetve a tézisek elutasítását indokoló fontosabb kifogásokat tartalmaznia kell.</w:t>
      </w: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</w:p>
    <w:p w:rsidR="0070720F" w:rsidRPr="00D66251" w:rsidRDefault="0070720F" w:rsidP="0070720F">
      <w:pPr>
        <w:rPr>
          <w:rFonts w:ascii="Times New Roman" w:hAnsi="Times New Roman"/>
          <w:sz w:val="24"/>
          <w:lang w:val="hu-HU"/>
        </w:rPr>
      </w:pPr>
      <w:r w:rsidRPr="00D66251">
        <w:rPr>
          <w:rFonts w:ascii="Times New Roman" w:hAnsi="Times New Roman"/>
          <w:b/>
          <w:i/>
          <w:sz w:val="24"/>
          <w:lang w:val="hu-HU"/>
        </w:rPr>
        <w:t>Elnök</w:t>
      </w:r>
      <w:r>
        <w:rPr>
          <w:rFonts w:ascii="Times New Roman" w:hAnsi="Times New Roman"/>
          <w:b/>
          <w:i/>
          <w:sz w:val="24"/>
          <w:lang w:val="hu-HU"/>
        </w:rPr>
        <w:t>:</w:t>
      </w:r>
      <w:r w:rsidRPr="00D66251">
        <w:rPr>
          <w:rFonts w:ascii="Times New Roman" w:hAnsi="Times New Roman"/>
          <w:sz w:val="24"/>
          <w:lang w:val="hu-HU"/>
        </w:rPr>
        <w:t xml:space="preserve"> Végül a vitát berekeszti.</w:t>
      </w:r>
    </w:p>
    <w:p w:rsidR="00FC5FE4" w:rsidRDefault="00FC5FE4"/>
    <w:sectPr w:rsidR="00FC5FE4" w:rsidSect="0070720F">
      <w:footerReference w:type="even" r:id="rId6"/>
      <w:footerReference w:type="default" r:id="rId7"/>
      <w:pgSz w:w="11906" w:h="16838"/>
      <w:pgMar w:top="567" w:right="926" w:bottom="426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71" w:rsidRDefault="00E10171">
      <w:r>
        <w:separator/>
      </w:r>
    </w:p>
  </w:endnote>
  <w:endnote w:type="continuationSeparator" w:id="0">
    <w:p w:rsidR="00E10171" w:rsidRDefault="00E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FC" w:rsidRDefault="00C629FC" w:rsidP="007072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629FC" w:rsidRDefault="00C629FC" w:rsidP="0070720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FC" w:rsidRDefault="00C629FC" w:rsidP="007072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5F93">
      <w:rPr>
        <w:rStyle w:val="Oldalszm"/>
        <w:noProof/>
      </w:rPr>
      <w:t>2</w:t>
    </w:r>
    <w:r>
      <w:rPr>
        <w:rStyle w:val="Oldalszm"/>
      </w:rPr>
      <w:fldChar w:fldCharType="end"/>
    </w:r>
  </w:p>
  <w:p w:rsidR="00C629FC" w:rsidRDefault="00C629FC" w:rsidP="0070720F">
    <w:pPr>
      <w:pStyle w:val="llb"/>
      <w:ind w:right="360"/>
    </w:pPr>
  </w:p>
  <w:p w:rsidR="00A13AAE" w:rsidRPr="002C3D30" w:rsidRDefault="00A13AAE" w:rsidP="00A13AAE">
    <w:pPr>
      <w:pStyle w:val="llb"/>
      <w:tabs>
        <w:tab w:val="right" w:pos="8931"/>
      </w:tabs>
      <w:ind w:right="-1"/>
      <w:jc w:val="right"/>
      <w:rPr>
        <w:rFonts w:ascii="Arial" w:hAnsi="Arial" w:cs="Arial"/>
        <w:i/>
        <w:color w:val="999999"/>
        <w:sz w:val="16"/>
        <w:szCs w:val="16"/>
      </w:rPr>
    </w:pPr>
    <w:r>
      <w:rPr>
        <w:rFonts w:ascii="Arial" w:hAnsi="Arial" w:cs="Arial"/>
        <w:i/>
        <w:color w:val="999999"/>
        <w:sz w:val="16"/>
        <w:szCs w:val="16"/>
      </w:rPr>
      <w:t>Habilitációs kollokvium forgató</w:t>
    </w:r>
    <w:r w:rsidRPr="002C3D30">
      <w:rPr>
        <w:rFonts w:ascii="Arial" w:hAnsi="Arial" w:cs="Arial"/>
        <w:i/>
        <w:color w:val="999999"/>
        <w:sz w:val="16"/>
        <w:szCs w:val="16"/>
      </w:rPr>
      <w:t>könyve</w:t>
    </w:r>
  </w:p>
  <w:p w:rsidR="00A13AAE" w:rsidRDefault="00A13AAE" w:rsidP="0070720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71" w:rsidRDefault="00E10171">
      <w:r>
        <w:separator/>
      </w:r>
    </w:p>
  </w:footnote>
  <w:footnote w:type="continuationSeparator" w:id="0">
    <w:p w:rsidR="00E10171" w:rsidRDefault="00E1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F"/>
    <w:rsid w:val="00057E94"/>
    <w:rsid w:val="000849C5"/>
    <w:rsid w:val="00151B28"/>
    <w:rsid w:val="00170407"/>
    <w:rsid w:val="002026FA"/>
    <w:rsid w:val="0036725D"/>
    <w:rsid w:val="00390098"/>
    <w:rsid w:val="00486143"/>
    <w:rsid w:val="00574C2E"/>
    <w:rsid w:val="005E74BE"/>
    <w:rsid w:val="005F283F"/>
    <w:rsid w:val="00656892"/>
    <w:rsid w:val="0070720F"/>
    <w:rsid w:val="00825F93"/>
    <w:rsid w:val="00A13AAE"/>
    <w:rsid w:val="00AC7797"/>
    <w:rsid w:val="00B55148"/>
    <w:rsid w:val="00B67985"/>
    <w:rsid w:val="00B776F2"/>
    <w:rsid w:val="00B91533"/>
    <w:rsid w:val="00B979FC"/>
    <w:rsid w:val="00C2733E"/>
    <w:rsid w:val="00C629FC"/>
    <w:rsid w:val="00CB1FF2"/>
    <w:rsid w:val="00CE00B6"/>
    <w:rsid w:val="00D466F0"/>
    <w:rsid w:val="00DE1DBD"/>
    <w:rsid w:val="00E10171"/>
    <w:rsid w:val="00E24AD4"/>
    <w:rsid w:val="00E41551"/>
    <w:rsid w:val="00F57725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F5D7-4C85-44DC-BDDF-4C148CB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20F"/>
    <w:rPr>
      <w:rFonts w:ascii="CG Times" w:hAnsi="CG Times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0720F"/>
    <w:pPr>
      <w:ind w:left="720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semiHidden/>
    <w:locked/>
    <w:rsid w:val="0070720F"/>
    <w:rPr>
      <w:rFonts w:ascii="CG Times" w:hAnsi="CG Times"/>
      <w:sz w:val="24"/>
      <w:lang w:val="en-US" w:eastAsia="en-US" w:bidi="ar-SA"/>
    </w:rPr>
  </w:style>
  <w:style w:type="paragraph" w:styleId="Szvegtrzsbehzssal2">
    <w:name w:val="Body Text Indent 2"/>
    <w:basedOn w:val="Norml"/>
    <w:link w:val="Szvegtrzsbehzssal2Char"/>
    <w:rsid w:val="0070720F"/>
    <w:pPr>
      <w:ind w:firstLine="720"/>
      <w:jc w:val="both"/>
    </w:pPr>
    <w:rPr>
      <w:i/>
      <w:sz w:val="24"/>
    </w:rPr>
  </w:style>
  <w:style w:type="character" w:customStyle="1" w:styleId="Szvegtrzsbehzssal2Char">
    <w:name w:val="Szövegtörzs behúzással 2 Char"/>
    <w:link w:val="Szvegtrzsbehzssal2"/>
    <w:semiHidden/>
    <w:locked/>
    <w:rsid w:val="0070720F"/>
    <w:rPr>
      <w:rFonts w:ascii="CG Times" w:hAnsi="CG Times"/>
      <w:i/>
      <w:sz w:val="24"/>
      <w:lang w:val="en-US" w:eastAsia="en-US" w:bidi="ar-SA"/>
    </w:rPr>
  </w:style>
  <w:style w:type="paragraph" w:styleId="Szvegtrzs">
    <w:name w:val="Body Text"/>
    <w:basedOn w:val="Norml"/>
    <w:link w:val="SzvegtrzsChar"/>
    <w:rsid w:val="0070720F"/>
    <w:pPr>
      <w:spacing w:after="120"/>
    </w:pPr>
  </w:style>
  <w:style w:type="character" w:customStyle="1" w:styleId="SzvegtrzsChar">
    <w:name w:val="Szövegtörzs Char"/>
    <w:link w:val="Szvegtrzs"/>
    <w:semiHidden/>
    <w:locked/>
    <w:rsid w:val="0070720F"/>
    <w:rPr>
      <w:rFonts w:ascii="CG Times" w:hAnsi="CG Times"/>
      <w:lang w:val="en-US" w:eastAsia="en-US" w:bidi="ar-SA"/>
    </w:rPr>
  </w:style>
  <w:style w:type="paragraph" w:styleId="llb">
    <w:name w:val="footer"/>
    <w:basedOn w:val="Norml"/>
    <w:link w:val="llbChar"/>
    <w:rsid w:val="0070720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sid w:val="0070720F"/>
    <w:rPr>
      <w:rFonts w:ascii="CG Times" w:hAnsi="CG Times"/>
      <w:lang w:val="en-US" w:eastAsia="en-US" w:bidi="ar-SA"/>
    </w:rPr>
  </w:style>
  <w:style w:type="character" w:styleId="Oldalszm">
    <w:name w:val="page number"/>
    <w:basedOn w:val="Bekezdsalapbettpusa"/>
    <w:rsid w:val="0070720F"/>
  </w:style>
  <w:style w:type="paragraph" w:styleId="lfej">
    <w:name w:val="header"/>
    <w:basedOn w:val="Norml"/>
    <w:rsid w:val="00A13A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TUDOMÁNYOS KOLLOKVIUM FORGATÓKÖNYVE</vt:lpstr>
    </vt:vector>
  </TitlesOfParts>
  <Company>Semmelweis Egyetem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TUDOMÁNYOS KOLLOKVIUM FORGATÓKÖNYVE</dc:title>
  <dc:subject/>
  <dc:creator>Balog Ibolya</dc:creator>
  <cp:keywords/>
  <dc:description/>
  <cp:lastModifiedBy>Sági Zenina</cp:lastModifiedBy>
  <cp:revision>2</cp:revision>
  <dcterms:created xsi:type="dcterms:W3CDTF">2021-03-02T07:24:00Z</dcterms:created>
  <dcterms:modified xsi:type="dcterms:W3CDTF">2021-03-02T07:24:00Z</dcterms:modified>
</cp:coreProperties>
</file>