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FA" w:rsidRDefault="009305FA" w:rsidP="003A34AC">
      <w:pPr>
        <w:tabs>
          <w:tab w:val="left" w:pos="7102"/>
        </w:tabs>
        <w:spacing w:before="68"/>
        <w:rPr>
          <w:b/>
          <w:sz w:val="24"/>
        </w:rPr>
      </w:pPr>
    </w:p>
    <w:p w:rsidR="009305FA" w:rsidRDefault="009305FA">
      <w:pPr>
        <w:pStyle w:val="Szvegtrzs"/>
        <w:spacing w:before="11"/>
        <w:rPr>
          <w:b/>
          <w:sz w:val="23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1265"/>
        <w:gridCol w:w="1080"/>
        <w:gridCol w:w="1260"/>
        <w:gridCol w:w="847"/>
        <w:gridCol w:w="765"/>
        <w:gridCol w:w="2157"/>
        <w:gridCol w:w="1525"/>
      </w:tblGrid>
      <w:tr w:rsidR="009305FA">
        <w:trPr>
          <w:trHeight w:val="918"/>
        </w:trPr>
        <w:tc>
          <w:tcPr>
            <w:tcW w:w="10135" w:type="dxa"/>
            <w:gridSpan w:val="8"/>
          </w:tcPr>
          <w:p w:rsidR="009305FA" w:rsidRDefault="009305FA">
            <w:pPr>
              <w:pStyle w:val="TableParagraph"/>
              <w:ind w:left="0"/>
              <w:rPr>
                <w:b/>
                <w:sz w:val="20"/>
              </w:rPr>
            </w:pPr>
          </w:p>
          <w:p w:rsidR="009305FA" w:rsidRDefault="009D64A0">
            <w:pPr>
              <w:pStyle w:val="TableParagraph"/>
              <w:ind w:left="3441" w:right="3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2018/2019. TANÉVBEN ÉRVÉNYES TANTÁRGYI PROGRAM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tabs>
                <w:tab w:val="left" w:pos="2231"/>
              </w:tabs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Tantárgy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teljes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3A34AC">
              <w:rPr>
                <w:b/>
                <w:sz w:val="20"/>
              </w:rPr>
              <w:t xml:space="preserve">neve: </w:t>
            </w:r>
            <w:r>
              <w:rPr>
                <w:b/>
                <w:sz w:val="20"/>
              </w:rPr>
              <w:t>Kolloidika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I.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Képzés: </w:t>
            </w:r>
            <w:r w:rsidR="003A34AC">
              <w:rPr>
                <w:sz w:val="20"/>
              </w:rPr>
              <w:t>egységes, osztatlan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Munkarend: </w:t>
            </w:r>
            <w:r>
              <w:rPr>
                <w:sz w:val="20"/>
              </w:rPr>
              <w:t>nappali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  <w:r>
              <w:rPr>
                <w:b/>
                <w:sz w:val="20"/>
              </w:rPr>
              <w:t xml:space="preserve">antárgy rövidített neve: </w:t>
            </w:r>
            <w:r w:rsidRPr="003A34AC">
              <w:rPr>
                <w:sz w:val="20"/>
              </w:rPr>
              <w:t>Kolloid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Tantárgy angol neve: </w:t>
            </w:r>
            <w:r w:rsidRPr="003A34AC">
              <w:rPr>
                <w:sz w:val="20"/>
              </w:rPr>
              <w:t>Colloid Chemistry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Tantárgy nep</w:t>
            </w:r>
            <w:r w:rsidR="003A34AC">
              <w:rPr>
                <w:b/>
                <w:sz w:val="20"/>
              </w:rPr>
              <w:t xml:space="preserve">tun kódja: </w:t>
            </w:r>
            <w:r w:rsidR="003A34AC" w:rsidRPr="003A34AC">
              <w:rPr>
                <w:sz w:val="20"/>
              </w:rPr>
              <w:t>GYKOLKOLE1M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Tantárgy besorolása: </w:t>
            </w:r>
            <w:r w:rsidR="003A34AC" w:rsidRPr="003A34AC">
              <w:rPr>
                <w:sz w:val="20"/>
              </w:rPr>
              <w:t>kötelező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oktatásáért felelős szervezeti egység:</w:t>
            </w:r>
            <w:r w:rsidR="003A34AC">
              <w:rPr>
                <w:b/>
                <w:sz w:val="20"/>
              </w:rPr>
              <w:t xml:space="preserve"> </w:t>
            </w:r>
            <w:r w:rsidR="003A34AC" w:rsidRPr="003A34AC">
              <w:rPr>
                <w:sz w:val="20"/>
              </w:rPr>
              <w:t>ELTE TTK Kémiai Intézet Fizikai Kémiai Tanszék</w:t>
            </w:r>
          </w:p>
        </w:tc>
      </w:tr>
      <w:tr w:rsidR="009305FA">
        <w:trPr>
          <w:trHeight w:val="921"/>
        </w:trPr>
        <w:tc>
          <w:tcPr>
            <w:tcW w:w="4841" w:type="dxa"/>
            <w:gridSpan w:val="4"/>
          </w:tcPr>
          <w:p w:rsidR="003A34AC" w:rsidRDefault="009D64A0">
            <w:pPr>
              <w:pStyle w:val="TableParagraph"/>
              <w:ind w:right="16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tantárgyfelelős neve: </w:t>
            </w:r>
          </w:p>
          <w:p w:rsidR="003A34AC" w:rsidRPr="003A34AC" w:rsidRDefault="009D64A0">
            <w:pPr>
              <w:pStyle w:val="TableParagraph"/>
              <w:ind w:right="1604"/>
              <w:rPr>
                <w:sz w:val="20"/>
              </w:rPr>
            </w:pPr>
            <w:r w:rsidRPr="003A34AC">
              <w:rPr>
                <w:sz w:val="20"/>
              </w:rPr>
              <w:t xml:space="preserve">Dr. Kiss Éva </w:t>
            </w:r>
          </w:p>
          <w:p w:rsidR="009305FA" w:rsidRDefault="009D64A0">
            <w:pPr>
              <w:pStyle w:val="TableParagraph"/>
              <w:ind w:right="16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Elérhetőség: ELTE </w:t>
            </w:r>
            <w:r w:rsidR="003A34AC">
              <w:rPr>
                <w:b/>
                <w:sz w:val="20"/>
              </w:rPr>
              <w:t xml:space="preserve">TTK </w:t>
            </w:r>
            <w:r>
              <w:rPr>
                <w:b/>
                <w:sz w:val="20"/>
              </w:rPr>
              <w:t>Kémiai Intézet</w:t>
            </w:r>
          </w:p>
          <w:p w:rsidR="009305FA" w:rsidRDefault="009D64A0">
            <w:pPr>
              <w:pStyle w:val="TableParagraph"/>
              <w:spacing w:before="1"/>
              <w:ind w:left="410"/>
              <w:rPr>
                <w:b/>
                <w:sz w:val="20"/>
              </w:rPr>
            </w:pPr>
            <w:r>
              <w:rPr>
                <w:b/>
                <w:sz w:val="20"/>
              </w:rPr>
              <w:t>- telefon: 372-2500/1308, 204106855</w:t>
            </w:r>
          </w:p>
          <w:p w:rsidR="009305FA" w:rsidRDefault="009D64A0">
            <w:pPr>
              <w:pStyle w:val="TableParagraph"/>
              <w:spacing w:line="210" w:lineRule="exact"/>
              <w:ind w:left="4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- e-mail: </w:t>
            </w:r>
            <w:hyperlink r:id="rId7">
              <w:r>
                <w:rPr>
                  <w:b/>
                  <w:sz w:val="20"/>
                </w:rPr>
                <w:t>kisseva@caesar.elte.hu</w:t>
              </w:r>
            </w:hyperlink>
          </w:p>
        </w:tc>
        <w:tc>
          <w:tcPr>
            <w:tcW w:w="5294" w:type="dxa"/>
            <w:gridSpan w:val="4"/>
          </w:tcPr>
          <w:p w:rsidR="009305FA" w:rsidRDefault="009D64A0">
            <w:pPr>
              <w:pStyle w:val="TableParagraph"/>
              <w:ind w:left="109" w:right="252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Beosztás, tudományos fokozat: </w:t>
            </w:r>
            <w:r w:rsidRPr="003A34AC">
              <w:rPr>
                <w:sz w:val="20"/>
              </w:rPr>
              <w:t>egyetemi tanár, MTA doktora</w:t>
            </w:r>
          </w:p>
        </w:tc>
      </w:tr>
      <w:tr w:rsidR="009305FA">
        <w:trPr>
          <w:trHeight w:val="1425"/>
        </w:trPr>
        <w:tc>
          <w:tcPr>
            <w:tcW w:w="4841" w:type="dxa"/>
            <w:gridSpan w:val="4"/>
          </w:tcPr>
          <w:p w:rsidR="009305FA" w:rsidRDefault="009D64A0">
            <w:pPr>
              <w:pStyle w:val="TableParagraph"/>
              <w:ind w:right="893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oktatásában résztvevő(k) neve(i): (elmélet/gyakorlat)</w:t>
            </w:r>
          </w:p>
        </w:tc>
        <w:tc>
          <w:tcPr>
            <w:tcW w:w="5294" w:type="dxa"/>
            <w:gridSpan w:val="4"/>
          </w:tcPr>
          <w:p w:rsidR="009305FA" w:rsidRDefault="009D64A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Beosztás, tudományos fokozat:</w:t>
            </w:r>
          </w:p>
        </w:tc>
      </w:tr>
      <w:tr w:rsidR="009305FA">
        <w:trPr>
          <w:trHeight w:val="690"/>
        </w:trPr>
        <w:tc>
          <w:tcPr>
            <w:tcW w:w="4841" w:type="dxa"/>
            <w:gridSpan w:val="4"/>
          </w:tcPr>
          <w:p w:rsidR="009305FA" w:rsidRPr="003A34AC" w:rsidRDefault="009D64A0" w:rsidP="003A34A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heti óraszáma:</w:t>
            </w:r>
            <w:r w:rsidR="003A34AC">
              <w:rPr>
                <w:b/>
                <w:sz w:val="20"/>
              </w:rPr>
              <w:t xml:space="preserve"> </w:t>
            </w:r>
            <w:r w:rsidR="003A34AC" w:rsidRPr="003A34AC">
              <w:rPr>
                <w:sz w:val="20"/>
              </w:rPr>
              <w:t>2</w:t>
            </w:r>
            <w:r w:rsidR="003A34AC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óra elmélet</w:t>
            </w:r>
          </w:p>
          <w:p w:rsidR="009305FA" w:rsidRDefault="009305FA" w:rsidP="003A34AC">
            <w:pPr>
              <w:pStyle w:val="TableParagraph"/>
              <w:spacing w:before="1" w:line="210" w:lineRule="exact"/>
              <w:ind w:left="0"/>
              <w:rPr>
                <w:sz w:val="20"/>
              </w:rPr>
            </w:pPr>
          </w:p>
        </w:tc>
        <w:tc>
          <w:tcPr>
            <w:tcW w:w="5294" w:type="dxa"/>
            <w:gridSpan w:val="4"/>
          </w:tcPr>
          <w:p w:rsidR="009305FA" w:rsidRPr="003A34AC" w:rsidRDefault="009D64A0" w:rsidP="003A34AC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kreditpontja:</w:t>
            </w:r>
            <w:r w:rsidR="003A34AC">
              <w:rPr>
                <w:b/>
                <w:sz w:val="20"/>
              </w:rPr>
              <w:t xml:space="preserve"> </w:t>
            </w:r>
            <w:r w:rsidRPr="003A34AC">
              <w:rPr>
                <w:sz w:val="20"/>
              </w:rPr>
              <w:t>2</w:t>
            </w:r>
            <w:r w:rsidR="003A34AC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kredit</w:t>
            </w:r>
          </w:p>
        </w:tc>
      </w:tr>
      <w:tr w:rsidR="009305FA">
        <w:trPr>
          <w:trHeight w:val="1425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feladata a képzés céljának megvalósításában:</w:t>
            </w:r>
          </w:p>
          <w:p w:rsidR="009305FA" w:rsidRDefault="009D64A0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Előadások keretében a gyógyszerészhallgatók megismerik a nanométer mérettartományú kolloid részecskék (makromolekulák, micellák és mikrofázisok), alapvető fizikai és kémiai tulajdonságait, jellemző (i</w:t>
            </w:r>
            <w:r>
              <w:rPr>
                <w:sz w:val="20"/>
              </w:rPr>
              <w:t>ntermolekuláris és interpartikuláris) kölcsönhatásait, valamint az egyszerű és összetett kolloid rendszerek stabilitását és szerkezetét befolyásoló tényezőket.</w:t>
            </w:r>
          </w:p>
        </w:tc>
      </w:tr>
      <w:tr w:rsidR="009305FA">
        <w:trPr>
          <w:trHeight w:val="1655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rövid leírása:</w:t>
            </w:r>
          </w:p>
          <w:p w:rsidR="009305FA" w:rsidRDefault="009D64A0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Kolloid részecskék, kolloid rendszerek. Makromolekulás és asszociációs kolloid oldatok, kolloid és durva diszperziók tulajdonságai, és stabilitásának jellemzése. Flokkuláltatás, stabilizálás. Határfelületek jellemzése, határfelületi jelenségek, nedvesedés,</w:t>
            </w:r>
            <w:r>
              <w:rPr>
                <w:sz w:val="20"/>
              </w:rPr>
              <w:t xml:space="preserve"> felületaktivitás. Kolloid részecskék nagyságának és alakjának meghatározása. Elektrokinetikai jelenségek. Kolloid rendszerek reológiája. A reológiai tulajdonságok kapcsolata a szerkezettel.</w:t>
            </w:r>
          </w:p>
        </w:tc>
      </w:tr>
      <w:tr w:rsidR="009305FA">
        <w:trPr>
          <w:trHeight w:val="230"/>
        </w:trPr>
        <w:tc>
          <w:tcPr>
            <w:tcW w:w="10135" w:type="dxa"/>
            <w:gridSpan w:val="8"/>
          </w:tcPr>
          <w:p w:rsidR="009305FA" w:rsidRDefault="009D64A0">
            <w:pPr>
              <w:pStyle w:val="TableParagraph"/>
              <w:spacing w:line="210" w:lineRule="exact"/>
              <w:ind w:left="334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Az adott félévi kurzusra vonatkozó adatok</w:t>
            </w:r>
          </w:p>
        </w:tc>
      </w:tr>
      <w:tr w:rsidR="009305FA">
        <w:trPr>
          <w:trHeight w:val="971"/>
        </w:trPr>
        <w:tc>
          <w:tcPr>
            <w:tcW w:w="1236" w:type="dxa"/>
          </w:tcPr>
          <w:p w:rsidR="009305FA" w:rsidRDefault="009D64A0">
            <w:pPr>
              <w:pStyle w:val="TableParagraph"/>
              <w:spacing w:before="119"/>
              <w:ind w:left="101"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Tárgyfelvétel ajánlott féléve</w:t>
            </w:r>
          </w:p>
        </w:tc>
        <w:tc>
          <w:tcPr>
            <w:tcW w:w="1265" w:type="dxa"/>
          </w:tcPr>
          <w:p w:rsidR="009305FA" w:rsidRDefault="009D64A0">
            <w:pPr>
              <w:pStyle w:val="TableParagraph"/>
              <w:spacing w:before="175"/>
              <w:ind w:left="314" w:right="3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elméleti óra</w:t>
            </w:r>
          </w:p>
        </w:tc>
        <w:tc>
          <w:tcPr>
            <w:tcW w:w="1080" w:type="dxa"/>
          </w:tcPr>
          <w:p w:rsidR="009305FA" w:rsidRDefault="009D64A0">
            <w:pPr>
              <w:pStyle w:val="TableParagraph"/>
              <w:spacing w:before="175"/>
              <w:ind w:left="125" w:right="1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gyakorlati óra</w:t>
            </w:r>
          </w:p>
        </w:tc>
        <w:tc>
          <w:tcPr>
            <w:tcW w:w="1260" w:type="dxa"/>
          </w:tcPr>
          <w:p w:rsidR="009305FA" w:rsidRDefault="009D64A0">
            <w:pPr>
              <w:pStyle w:val="TableParagraph"/>
              <w:spacing w:before="71"/>
              <w:ind w:left="110" w:right="100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demonstráció s gyakorlati óra</w:t>
            </w:r>
          </w:p>
        </w:tc>
        <w:tc>
          <w:tcPr>
            <w:tcW w:w="847" w:type="dxa"/>
          </w:tcPr>
          <w:p w:rsidR="009305FA" w:rsidRDefault="009305F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9305FA" w:rsidRDefault="009D64A0">
            <w:pPr>
              <w:pStyle w:val="TableParagraph"/>
              <w:ind w:left="294" w:right="127" w:hanging="135"/>
              <w:rPr>
                <w:b/>
                <w:sz w:val="18"/>
              </w:rPr>
            </w:pPr>
            <w:r>
              <w:rPr>
                <w:b/>
                <w:sz w:val="18"/>
              </w:rPr>
              <w:t>Egyéni óra</w:t>
            </w:r>
          </w:p>
        </w:tc>
        <w:tc>
          <w:tcPr>
            <w:tcW w:w="765" w:type="dxa"/>
          </w:tcPr>
          <w:p w:rsidR="009305FA" w:rsidRDefault="009305F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9305FA" w:rsidRDefault="009D64A0">
            <w:pPr>
              <w:pStyle w:val="TableParagraph"/>
              <w:ind w:left="254" w:right="96" w:hanging="125"/>
              <w:rPr>
                <w:b/>
                <w:sz w:val="18"/>
              </w:rPr>
            </w:pPr>
            <w:r>
              <w:rPr>
                <w:b/>
                <w:sz w:val="18"/>
              </w:rPr>
              <w:t>Összes óra</w:t>
            </w:r>
          </w:p>
        </w:tc>
        <w:tc>
          <w:tcPr>
            <w:tcW w:w="2157" w:type="dxa"/>
          </w:tcPr>
          <w:p w:rsidR="009305FA" w:rsidRDefault="009305F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9305FA" w:rsidRDefault="009D64A0">
            <w:pPr>
              <w:pStyle w:val="TableParagraph"/>
              <w:ind w:left="614" w:right="582" w:hanging="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 xml:space="preserve">Meghirdetés </w:t>
            </w:r>
            <w:r>
              <w:rPr>
                <w:b/>
                <w:sz w:val="18"/>
              </w:rPr>
              <w:t>gyakorisága</w:t>
            </w:r>
          </w:p>
        </w:tc>
        <w:tc>
          <w:tcPr>
            <w:tcW w:w="1525" w:type="dxa"/>
          </w:tcPr>
          <w:p w:rsidR="009305FA" w:rsidRDefault="009305F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9305FA" w:rsidRDefault="009D64A0">
            <w:pPr>
              <w:pStyle w:val="TableParagraph"/>
              <w:ind w:left="521" w:right="217" w:hanging="274"/>
              <w:rPr>
                <w:b/>
                <w:sz w:val="18"/>
              </w:rPr>
            </w:pPr>
            <w:r>
              <w:rPr>
                <w:b/>
                <w:sz w:val="18"/>
              </w:rPr>
              <w:t>Konzultációk száma</w:t>
            </w:r>
          </w:p>
        </w:tc>
      </w:tr>
      <w:tr w:rsidR="009305FA">
        <w:trPr>
          <w:trHeight w:val="1058"/>
        </w:trPr>
        <w:tc>
          <w:tcPr>
            <w:tcW w:w="1236" w:type="dxa"/>
          </w:tcPr>
          <w:p w:rsidR="009305FA" w:rsidRDefault="003A34AC">
            <w:pPr>
              <w:pStyle w:val="TableParagraph"/>
              <w:spacing w:before="182"/>
              <w:ind w:left="390"/>
              <w:rPr>
                <w:sz w:val="20"/>
              </w:rPr>
            </w:pPr>
            <w:r>
              <w:rPr>
                <w:sz w:val="20"/>
              </w:rPr>
              <w:t>4.</w:t>
            </w:r>
          </w:p>
          <w:p w:rsidR="009305FA" w:rsidRDefault="009D64A0">
            <w:pPr>
              <w:pStyle w:val="TableParagraph"/>
              <w:spacing w:before="1"/>
              <w:ind w:left="311"/>
              <w:rPr>
                <w:sz w:val="20"/>
              </w:rPr>
            </w:pPr>
            <w:r>
              <w:rPr>
                <w:sz w:val="20"/>
              </w:rPr>
              <w:t>félévtől</w:t>
            </w:r>
          </w:p>
        </w:tc>
        <w:tc>
          <w:tcPr>
            <w:tcW w:w="1265" w:type="dxa"/>
          </w:tcPr>
          <w:p w:rsidR="009305FA" w:rsidRDefault="009305FA">
            <w:pPr>
              <w:pStyle w:val="TableParagraph"/>
              <w:ind w:left="0"/>
              <w:rPr>
                <w:b/>
              </w:rPr>
            </w:pPr>
          </w:p>
          <w:p w:rsidR="009305FA" w:rsidRDefault="003A34AC">
            <w:pPr>
              <w:pStyle w:val="TableParagraph"/>
              <w:spacing w:before="160"/>
              <w:ind w:left="407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80" w:type="dxa"/>
          </w:tcPr>
          <w:p w:rsidR="009305FA" w:rsidRDefault="009305FA">
            <w:pPr>
              <w:pStyle w:val="TableParagraph"/>
              <w:ind w:left="0"/>
              <w:rPr>
                <w:b/>
              </w:rPr>
            </w:pPr>
          </w:p>
          <w:p w:rsidR="009305FA" w:rsidRDefault="009D64A0">
            <w:pPr>
              <w:pStyle w:val="TableParagraph"/>
              <w:spacing w:before="160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…..</w:t>
            </w:r>
          </w:p>
        </w:tc>
        <w:tc>
          <w:tcPr>
            <w:tcW w:w="1260" w:type="dxa"/>
          </w:tcPr>
          <w:p w:rsidR="009305FA" w:rsidRDefault="009305FA">
            <w:pPr>
              <w:pStyle w:val="TableParagraph"/>
              <w:ind w:left="0"/>
              <w:rPr>
                <w:b/>
              </w:rPr>
            </w:pPr>
          </w:p>
          <w:p w:rsidR="009305FA" w:rsidRDefault="009D64A0">
            <w:pPr>
              <w:pStyle w:val="TableParagraph"/>
              <w:spacing w:before="160"/>
              <w:ind w:left="378"/>
              <w:rPr>
                <w:sz w:val="20"/>
              </w:rPr>
            </w:pPr>
            <w:r>
              <w:rPr>
                <w:sz w:val="20"/>
              </w:rPr>
              <w:t>……..</w:t>
            </w:r>
          </w:p>
        </w:tc>
        <w:tc>
          <w:tcPr>
            <w:tcW w:w="847" w:type="dxa"/>
          </w:tcPr>
          <w:p w:rsidR="009305FA" w:rsidRDefault="009305FA">
            <w:pPr>
              <w:pStyle w:val="TableParagraph"/>
              <w:ind w:left="0"/>
              <w:rPr>
                <w:b/>
              </w:rPr>
            </w:pPr>
          </w:p>
          <w:p w:rsidR="009305FA" w:rsidRDefault="009D64A0">
            <w:pPr>
              <w:pStyle w:val="TableParagraph"/>
              <w:spacing w:before="160"/>
              <w:ind w:left="174"/>
              <w:rPr>
                <w:sz w:val="20"/>
              </w:rPr>
            </w:pPr>
            <w:r>
              <w:rPr>
                <w:sz w:val="20"/>
              </w:rPr>
              <w:t>……..</w:t>
            </w:r>
          </w:p>
        </w:tc>
        <w:tc>
          <w:tcPr>
            <w:tcW w:w="765" w:type="dxa"/>
          </w:tcPr>
          <w:p w:rsidR="009305FA" w:rsidRDefault="009305FA">
            <w:pPr>
              <w:pStyle w:val="TableParagraph"/>
              <w:ind w:left="0"/>
              <w:rPr>
                <w:b/>
              </w:rPr>
            </w:pPr>
          </w:p>
          <w:p w:rsidR="009305FA" w:rsidRDefault="003A34AC">
            <w:pPr>
              <w:pStyle w:val="TableParagraph"/>
              <w:spacing w:before="160"/>
              <w:ind w:left="134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157" w:type="dxa"/>
          </w:tcPr>
          <w:p w:rsidR="009305FA" w:rsidRDefault="009D64A0">
            <w:pPr>
              <w:pStyle w:val="TableParagraph"/>
              <w:spacing w:line="237" w:lineRule="auto"/>
              <w:ind w:left="110" w:right="163" w:hanging="1"/>
              <w:rPr>
                <w:sz w:val="12"/>
              </w:rPr>
            </w:pPr>
            <w:r>
              <w:rPr>
                <w:sz w:val="18"/>
              </w:rPr>
              <w:t>Őszi szemeszterben</w:t>
            </w:r>
            <w:r>
              <w:rPr>
                <w:position w:val="6"/>
                <w:sz w:val="12"/>
              </w:rPr>
              <w:t xml:space="preserve">* </w:t>
            </w:r>
            <w:r>
              <w:rPr>
                <w:sz w:val="18"/>
                <w:u w:val="single"/>
              </w:rPr>
              <w:t>Tavaszi szemeszter</w:t>
            </w:r>
            <w:r>
              <w:rPr>
                <w:position w:val="6"/>
                <w:sz w:val="12"/>
              </w:rPr>
              <w:t xml:space="preserve">* </w:t>
            </w:r>
            <w:r>
              <w:rPr>
                <w:sz w:val="20"/>
              </w:rPr>
              <w:t>Minkét szemeszterben</w:t>
            </w:r>
            <w:r>
              <w:rPr>
                <w:position w:val="6"/>
                <w:sz w:val="12"/>
              </w:rPr>
              <w:t>*</w:t>
            </w:r>
          </w:p>
          <w:p w:rsidR="009305FA" w:rsidRDefault="009305FA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9305FA" w:rsidRDefault="009D64A0">
            <w:pPr>
              <w:pStyle w:val="TableParagraph"/>
              <w:spacing w:line="193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r>
              <w:rPr>
                <w:b/>
                <w:position w:val="6"/>
                <w:sz w:val="12"/>
              </w:rPr>
              <w:t xml:space="preserve">* </w:t>
            </w:r>
            <w:r>
              <w:rPr>
                <w:b/>
                <w:sz w:val="18"/>
              </w:rPr>
              <w:t>Megfelelő aláhúzandó)</w:t>
            </w:r>
          </w:p>
        </w:tc>
        <w:tc>
          <w:tcPr>
            <w:tcW w:w="1525" w:type="dxa"/>
          </w:tcPr>
          <w:p w:rsidR="009305FA" w:rsidRDefault="009305FA">
            <w:pPr>
              <w:pStyle w:val="TableParagraph"/>
              <w:ind w:left="0"/>
              <w:rPr>
                <w:b/>
              </w:rPr>
            </w:pPr>
          </w:p>
          <w:p w:rsidR="009305FA" w:rsidRDefault="009D64A0">
            <w:pPr>
              <w:pStyle w:val="TableParagraph"/>
              <w:spacing w:before="160"/>
              <w:ind w:left="214"/>
              <w:rPr>
                <w:sz w:val="20"/>
              </w:rPr>
            </w:pPr>
            <w:r>
              <w:rPr>
                <w:sz w:val="20"/>
              </w:rPr>
              <w:t>igény szerint-</w:t>
            </w:r>
          </w:p>
        </w:tc>
      </w:tr>
    </w:tbl>
    <w:p w:rsidR="009305FA" w:rsidRDefault="009305FA">
      <w:pPr>
        <w:rPr>
          <w:sz w:val="20"/>
        </w:rPr>
        <w:sectPr w:rsidR="009305FA">
          <w:type w:val="continuous"/>
          <w:pgSz w:w="11900" w:h="16840"/>
          <w:pgMar w:top="1060" w:right="620" w:bottom="280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0"/>
      </w:tblGrid>
      <w:tr w:rsidR="009305FA">
        <w:trPr>
          <w:trHeight w:val="230"/>
        </w:trPr>
        <w:tc>
          <w:tcPr>
            <w:tcW w:w="10130" w:type="dxa"/>
          </w:tcPr>
          <w:p w:rsidR="009305FA" w:rsidRDefault="009D64A0">
            <w:pPr>
              <w:pStyle w:val="TableParagraph"/>
              <w:spacing w:line="210" w:lineRule="exact"/>
              <w:ind w:left="0" w:right="380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A kurzus oktatásának időterve</w:t>
            </w:r>
          </w:p>
        </w:tc>
      </w:tr>
      <w:tr w:rsidR="009305FA">
        <w:trPr>
          <w:trHeight w:val="8214"/>
        </w:trPr>
        <w:tc>
          <w:tcPr>
            <w:tcW w:w="10130" w:type="dxa"/>
          </w:tcPr>
          <w:p w:rsidR="009305FA" w:rsidRDefault="009D64A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Elméleti órák tematikája (heti bontásban):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ind w:right="648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Homogén,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heterogén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és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kolloid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rendszerek: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Intermolekuláris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interpartikuláris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(elektrosztatikus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sztérikus) kölcsönhatások. Kolloid diszperz és kohezív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rendszerek.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79"/>
              <w:ind w:right="411" w:firstLine="0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i/>
                <w:sz w:val="20"/>
              </w:rPr>
              <w:t xml:space="preserve">Makromolekulás kolloidok: </w:t>
            </w:r>
            <w:r>
              <w:rPr>
                <w:sz w:val="20"/>
              </w:rPr>
              <w:t>Természetes eredetű és szintetikus makromolekulás vegyületek. Makromolekulák oldódása, oldatok képződésének termodinami</w:t>
            </w:r>
            <w:r>
              <w:rPr>
                <w:sz w:val="20"/>
              </w:rPr>
              <w:t>kai alapjai. Oldott makromolekulák jellemzése, kölcsönhatásai. Polimerek fizikai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állapotai.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260"/>
              </w:tabs>
              <w:spacing w:before="81"/>
              <w:ind w:right="846" w:firstLine="0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i/>
                <w:sz w:val="20"/>
              </w:rPr>
              <w:t xml:space="preserve">Asszociációs kolloidok: </w:t>
            </w:r>
            <w:r>
              <w:rPr>
                <w:sz w:val="20"/>
              </w:rPr>
              <w:t>amfilil vegyületek molekulaszerkezete és típusai. A micellaképződés egyensúlya és termodinamikai feltételei. Tenzidoldatok fizikai-kémi</w:t>
            </w:r>
            <w:r>
              <w:rPr>
                <w:sz w:val="20"/>
              </w:rPr>
              <w:t>ai tulajdonságai. Szolubilizáció. Önszerveződő rendszerek (nagymicellák, vezikulumok)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tulajdonságai.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80"/>
              <w:ind w:right="1061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Határfelületek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jellemzése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Határrétegek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összetétele.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Intermolekuláris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erők,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határfelületi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(többlet)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energia. Termodinamikai instabilitás. Kapillaritás</w:t>
            </w:r>
            <w:r>
              <w:rPr>
                <w:sz w:val="20"/>
              </w:rPr>
              <w:t>. Kondenzált fázisok érintkezésekor fellépő nedvesedési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jelenségek.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80"/>
              <w:ind w:right="612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Adszorpciós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folyamatok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energiaváltozásai,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termodinamikai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hajtóerő,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adszorpciós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entalpiák.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Felületi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többletek, adszorbeált mennyiség. Adszorbensek jellemzése, szerkezetvizsgálata, gyóg</w:t>
            </w:r>
            <w:r>
              <w:rPr>
                <w:sz w:val="20"/>
              </w:rPr>
              <w:t>yászati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felhasználása.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80"/>
              <w:ind w:right="813" w:firstLine="0"/>
              <w:rPr>
                <w:sz w:val="20"/>
              </w:rPr>
            </w:pPr>
            <w:r>
              <w:rPr>
                <w:sz w:val="20"/>
              </w:rPr>
              <w:t>hét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:Határfelületek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elektromos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tulajdonságai.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elektromos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kettősréteg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szerkezete,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potenciálja.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Elektrokinetikai jelenségek.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80"/>
              <w:ind w:right="72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i/>
                <w:sz w:val="20"/>
              </w:rPr>
              <w:t xml:space="preserve">Kolloid és durva diszperziók: </w:t>
            </w:r>
            <w:r>
              <w:rPr>
                <w:sz w:val="20"/>
              </w:rPr>
              <w:t>Diszperziók előállítása kondenzálással. A diszperzitásfok szabályozása. Durva diszperziók előállítása diszpergálással. A részecskeméret és a felületi sajátságok szerepe gyógyszer szuszpenziók és aeroszolok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felszívódásában.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81"/>
              <w:ind w:right="223" w:firstLine="0"/>
              <w:rPr>
                <w:sz w:val="20"/>
              </w:rPr>
            </w:pPr>
            <w:r>
              <w:rPr>
                <w:sz w:val="20"/>
              </w:rPr>
              <w:t>hét. Kinetikai állandóság és rész</w:t>
            </w:r>
            <w:r>
              <w:rPr>
                <w:sz w:val="20"/>
              </w:rPr>
              <w:t>ecskeaggregáció. A sztérikus stabilizálás mechanizmusa. Flokkuláltatás elektrolitokkal, amfipatikus molekulákkal és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makromolekulákkal.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80"/>
              <w:ind w:right="600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Emulziók,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mikroemulziók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gázdiszperziók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stabilitása.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eloszlási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koaleszcenciaállandóság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szabályozása. Gyógysz</w:t>
            </w:r>
            <w:r>
              <w:rPr>
                <w:sz w:val="20"/>
              </w:rPr>
              <w:t>erészeti emulziók és krémek stabilizálásának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törvényszerűségei.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spacing w:before="80"/>
              <w:ind w:right="276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Szuszpenziók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tulajdonságai,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adhéziós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erők.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Szuszpenziós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gyógyszerek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tárolási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stabilitása.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Kolloidok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alkalmazása gyógyszertranszport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szabályozására.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spacing w:before="80"/>
              <w:ind w:right="607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Kolloid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részecskék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nagyságának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alakjának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meghatározási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elvei: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diffúzió,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szedimentáció.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szemcseméret- eloszlás befolyása a gyógyszerformák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hatékonyságára.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spacing w:before="80"/>
              <w:ind w:right="479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Kolloid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rendszerek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reológiája: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Reológiai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alapfüggvények.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reológiai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tulajdonságok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kapcsolata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szerkezettel: ideálisan rugalmas, viszkózus és plasztikus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anyagok.</w:t>
            </w:r>
          </w:p>
          <w:p w:rsidR="009305FA" w:rsidRDefault="009D64A0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spacing w:before="80"/>
              <w:ind w:right="1010" w:firstLine="0"/>
              <w:rPr>
                <w:sz w:val="20"/>
              </w:rPr>
            </w:pPr>
            <w:r>
              <w:rPr>
                <w:sz w:val="20"/>
              </w:rPr>
              <w:t>hét: Kolloid rendszerek folyásgörbéi. Emulziók, szuszpenziók, krémek, gélek, kenőcsök reológiai sajátságai. Viszkozitás és folyáshatár meghatározása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szabályozása.</w:t>
            </w:r>
          </w:p>
        </w:tc>
      </w:tr>
      <w:tr w:rsidR="009305FA">
        <w:trPr>
          <w:trHeight w:val="230"/>
        </w:trPr>
        <w:tc>
          <w:tcPr>
            <w:tcW w:w="10130" w:type="dxa"/>
          </w:tcPr>
          <w:p w:rsidR="009305FA" w:rsidRDefault="009305FA">
            <w:pPr>
              <w:pStyle w:val="TableParagraph"/>
              <w:ind w:left="0"/>
              <w:rPr>
                <w:sz w:val="16"/>
              </w:rPr>
            </w:pPr>
          </w:p>
        </w:tc>
      </w:tr>
      <w:tr w:rsidR="009305FA">
        <w:trPr>
          <w:trHeight w:val="918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Konzultációk rendje:</w:t>
            </w:r>
          </w:p>
          <w:p w:rsidR="009305FA" w:rsidRDefault="009D6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Igény szerint, előzetes egyeztetéssel.</w:t>
            </w:r>
          </w:p>
        </w:tc>
      </w:tr>
      <w:tr w:rsidR="009305FA">
        <w:trPr>
          <w:trHeight w:val="230"/>
        </w:trPr>
        <w:tc>
          <w:tcPr>
            <w:tcW w:w="10130" w:type="dxa"/>
          </w:tcPr>
          <w:p w:rsidR="009305FA" w:rsidRDefault="009D64A0">
            <w:pPr>
              <w:pStyle w:val="TableParagraph"/>
              <w:spacing w:line="210" w:lineRule="exact"/>
              <w:ind w:left="0" w:right="383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Kurzus követelményrendszere</w:t>
            </w:r>
          </w:p>
        </w:tc>
      </w:tr>
      <w:tr w:rsidR="009305FA">
        <w:trPr>
          <w:trHeight w:val="1197"/>
        </w:trPr>
        <w:tc>
          <w:tcPr>
            <w:tcW w:w="10130" w:type="dxa"/>
          </w:tcPr>
          <w:p w:rsidR="009305FA" w:rsidRPr="003A34AC" w:rsidRDefault="009D64A0" w:rsidP="003A34A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kurzus felvételének előzetes követelményei:</w:t>
            </w:r>
            <w:r w:rsidR="003A34AC">
              <w:rPr>
                <w:b/>
                <w:sz w:val="20"/>
              </w:rPr>
              <w:t xml:space="preserve"> </w:t>
            </w:r>
            <w:r w:rsidR="003A34AC">
              <w:rPr>
                <w:sz w:val="20"/>
              </w:rPr>
              <w:t>GYFKTFIKE</w:t>
            </w:r>
            <w:bookmarkStart w:id="0" w:name="_GoBack"/>
            <w:bookmarkEnd w:id="0"/>
            <w:r>
              <w:rPr>
                <w:sz w:val="20"/>
              </w:rPr>
              <w:t>1M Fizikai kémia I.</w:t>
            </w:r>
          </w:p>
        </w:tc>
      </w:tr>
      <w:tr w:rsidR="009305FA">
        <w:trPr>
          <w:trHeight w:val="1425"/>
        </w:trPr>
        <w:tc>
          <w:tcPr>
            <w:tcW w:w="10130" w:type="dxa"/>
          </w:tcPr>
          <w:p w:rsidR="009305FA" w:rsidRDefault="009D64A0">
            <w:pPr>
              <w:pStyle w:val="TableParagraph"/>
              <w:ind w:right="288"/>
              <w:rPr>
                <w:b/>
                <w:sz w:val="20"/>
              </w:rPr>
            </w:pPr>
            <w:r>
              <w:rPr>
                <w:b/>
                <w:sz w:val="20"/>
              </w:rPr>
              <w:t>A foglalkozásokon való részvétel követelményei, az elfogadható hiányzások mértéke, a távolmaradás igazolásának módja, pótlás lehetősége:</w:t>
            </w:r>
          </w:p>
          <w:p w:rsidR="009305FA" w:rsidRDefault="009D64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Az előadások látogatása ajánlott.</w:t>
            </w:r>
          </w:p>
        </w:tc>
      </w:tr>
      <w:tr w:rsidR="009305FA">
        <w:trPr>
          <w:trHeight w:val="460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Évközi ellenőrzés:</w:t>
            </w:r>
            <w:r>
              <w:rPr>
                <w:sz w:val="20"/>
              </w:rPr>
              <w:t>. -</w:t>
            </w:r>
          </w:p>
        </w:tc>
      </w:tr>
      <w:tr w:rsidR="009305FA">
        <w:trPr>
          <w:trHeight w:val="918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félév végi aláírás követelményei:</w:t>
            </w:r>
          </w:p>
          <w:p w:rsidR="009305FA" w:rsidRDefault="009D6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 tárgy felvétele</w:t>
            </w:r>
          </w:p>
        </w:tc>
      </w:tr>
      <w:tr w:rsidR="009305FA">
        <w:trPr>
          <w:trHeight w:val="690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hallgató félév során egyéni munkával megoldandó feladatai:</w:t>
            </w:r>
          </w:p>
          <w:p w:rsidR="009305FA" w:rsidRDefault="009D64A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9305FA" w:rsidRDefault="009305FA">
      <w:pPr>
        <w:pStyle w:val="Szvegtrzs"/>
        <w:spacing w:before="2"/>
        <w:rPr>
          <w:b/>
          <w:sz w:val="13"/>
        </w:rPr>
      </w:pPr>
    </w:p>
    <w:p w:rsidR="009305FA" w:rsidRDefault="009D64A0">
      <w:pPr>
        <w:pStyle w:val="Szvegtrzs"/>
        <w:spacing w:before="90"/>
        <w:ind w:right="506"/>
        <w:jc w:val="right"/>
      </w:pPr>
      <w:r>
        <w:rPr>
          <w:w w:val="99"/>
        </w:rPr>
        <w:t>2</w:t>
      </w:r>
    </w:p>
    <w:p w:rsidR="009305FA" w:rsidRDefault="009305FA">
      <w:pPr>
        <w:jc w:val="right"/>
        <w:sectPr w:rsidR="009305FA">
          <w:headerReference w:type="default" r:id="rId8"/>
          <w:pgSz w:w="11900" w:h="16840"/>
          <w:pgMar w:top="980" w:right="620" w:bottom="280" w:left="880" w:header="720" w:footer="0" w:gutter="0"/>
          <w:pgNumType w:start="2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0"/>
      </w:tblGrid>
      <w:tr w:rsidR="009305FA">
        <w:trPr>
          <w:trHeight w:val="688"/>
        </w:trPr>
        <w:tc>
          <w:tcPr>
            <w:tcW w:w="10130" w:type="dxa"/>
          </w:tcPr>
          <w:p w:rsidR="009305FA" w:rsidRDefault="009D64A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 félév végi számonkérés módja:</w:t>
            </w:r>
          </w:p>
          <w:p w:rsidR="009305FA" w:rsidRDefault="009D64A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A szóbeli vizsgán a hallgatók a kiadott tételsorból két elméleti kérdésre válaszolnak.</w:t>
            </w:r>
          </w:p>
        </w:tc>
      </w:tr>
      <w:tr w:rsidR="009305FA">
        <w:trPr>
          <w:trHeight w:val="690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A félév végi számonkérés formája</w:t>
            </w:r>
            <w:r>
              <w:rPr>
                <w:b/>
                <w:i/>
                <w:sz w:val="20"/>
              </w:rPr>
              <w:t>:</w:t>
            </w:r>
          </w:p>
          <w:p w:rsidR="009305FA" w:rsidRDefault="009D6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Szóbeli vizsga</w:t>
            </w:r>
          </w:p>
        </w:tc>
      </w:tr>
      <w:tr w:rsidR="009305FA">
        <w:trPr>
          <w:trHeight w:val="690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tárgy előírt külső szakmai gyakorlatai:</w:t>
            </w:r>
          </w:p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  <w:tr w:rsidR="009305FA">
        <w:trPr>
          <w:trHeight w:val="1379"/>
        </w:trPr>
        <w:tc>
          <w:tcPr>
            <w:tcW w:w="10130" w:type="dxa"/>
          </w:tcPr>
          <w:p w:rsidR="009305FA" w:rsidRDefault="009D64A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tananyag elsajátításához felhasználható jegyzetek, tankönyvek, segédletek és szakirodalom listája:</w:t>
            </w:r>
          </w:p>
          <w:p w:rsidR="009305FA" w:rsidRDefault="009D64A0">
            <w:pPr>
              <w:pStyle w:val="TableParagraph"/>
              <w:tabs>
                <w:tab w:val="left" w:pos="1523"/>
                <w:tab w:val="left" w:pos="5063"/>
                <w:tab w:val="left" w:pos="7187"/>
                <w:tab w:val="left" w:pos="7230"/>
              </w:tabs>
              <w:ind w:right="2429"/>
              <w:jc w:val="both"/>
              <w:rPr>
                <w:sz w:val="20"/>
              </w:rPr>
            </w:pPr>
            <w:r>
              <w:rPr>
                <w:sz w:val="20"/>
              </w:rPr>
              <w:t>Rohrsetzer,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S.  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Kolloidika</w:t>
            </w:r>
            <w:r>
              <w:rPr>
                <w:sz w:val="20"/>
              </w:rPr>
              <w:tab/>
              <w:t>Tankönyvkiadó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1991. Csempesz, F.       Kolloidkémiai laboratóriumi gyakorlatok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Semmelweis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Kiadó</w:t>
            </w:r>
            <w:r>
              <w:rPr>
                <w:sz w:val="20"/>
              </w:rPr>
              <w:tab/>
              <w:t>2009. Shaw,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D.J.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Bevezetés a kolloid és felületi kémiába  Műszaki Könyvkiadó   1986. Hunter, R.J.         Foundations of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Colloid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z w:val="20"/>
              </w:rPr>
              <w:tab/>
              <w:t>Oxford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Univ.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2004.</w:t>
            </w:r>
          </w:p>
        </w:tc>
      </w:tr>
      <w:tr w:rsidR="009305FA">
        <w:trPr>
          <w:trHeight w:val="688"/>
        </w:trPr>
        <w:tc>
          <w:tcPr>
            <w:tcW w:w="10130" w:type="dxa"/>
          </w:tcPr>
          <w:p w:rsidR="009305FA" w:rsidRDefault="009D64A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kurzus tárgyi szükségletei:</w:t>
            </w:r>
          </w:p>
          <w:p w:rsidR="009305FA" w:rsidRDefault="009D64A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  <w:tr w:rsidR="009305FA">
        <w:trPr>
          <w:trHeight w:val="921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Tantárgyi vonatkozású tudományos eredmények, kutatások:</w:t>
            </w:r>
          </w:p>
          <w:p w:rsidR="009305FA" w:rsidRDefault="009D6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Kolloidok és nanorendszerek gyógyszerészeti és orvos-biológiai alkalmazásokban. (Tudományos diákköri munka, diplomamunka készíthető)</w:t>
            </w:r>
          </w:p>
        </w:tc>
      </w:tr>
      <w:tr w:rsidR="009305FA">
        <w:trPr>
          <w:trHeight w:val="460"/>
        </w:trPr>
        <w:tc>
          <w:tcPr>
            <w:tcW w:w="10130" w:type="dxa"/>
          </w:tcPr>
          <w:p w:rsidR="009305FA" w:rsidRDefault="009D64A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tantárgyleírást készítette:</w:t>
            </w:r>
          </w:p>
          <w:p w:rsidR="009305FA" w:rsidRDefault="009D64A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Dr. Kiss Éva</w:t>
            </w:r>
          </w:p>
        </w:tc>
      </w:tr>
    </w:tbl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rPr>
          <w:sz w:val="20"/>
        </w:rPr>
      </w:pPr>
    </w:p>
    <w:p w:rsidR="009305FA" w:rsidRDefault="009305FA">
      <w:pPr>
        <w:pStyle w:val="Szvegtrzs"/>
        <w:spacing w:before="2"/>
        <w:rPr>
          <w:sz w:val="18"/>
        </w:rPr>
      </w:pPr>
    </w:p>
    <w:p w:rsidR="009305FA" w:rsidRDefault="009D64A0">
      <w:pPr>
        <w:pStyle w:val="Szvegtrzs"/>
        <w:spacing w:before="90"/>
        <w:ind w:right="506"/>
        <w:jc w:val="right"/>
      </w:pPr>
      <w:r>
        <w:rPr>
          <w:w w:val="99"/>
        </w:rPr>
        <w:t>3</w:t>
      </w:r>
    </w:p>
    <w:sectPr w:rsidR="009305FA">
      <w:pgSz w:w="11900" w:h="16840"/>
      <w:pgMar w:top="980" w:right="620" w:bottom="280" w:left="880" w:header="72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4A0" w:rsidRDefault="009D64A0">
      <w:r>
        <w:separator/>
      </w:r>
    </w:p>
  </w:endnote>
  <w:endnote w:type="continuationSeparator" w:id="0">
    <w:p w:rsidR="009D64A0" w:rsidRDefault="009D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4A0" w:rsidRDefault="009D64A0">
      <w:r>
        <w:separator/>
      </w:r>
    </w:p>
  </w:footnote>
  <w:footnote w:type="continuationSeparator" w:id="0">
    <w:p w:rsidR="009D64A0" w:rsidRDefault="009D6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5FA" w:rsidRDefault="009D64A0">
    <w:pPr>
      <w:pStyle w:val="Szvegtrzs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35pt;width:10pt;height:15.3pt;z-index:-251658752;mso-position-horizontal-relative:page;mso-position-vertical-relative:page" filled="f" stroked="f">
          <v:textbox inset="0,0,0,0">
            <w:txbxContent>
              <w:p w:rsidR="009305FA" w:rsidRDefault="009D64A0">
                <w:pPr>
                  <w:pStyle w:val="Szvegtrzs"/>
                  <w:spacing w:before="9"/>
                  <w:ind w:left="4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A34AC">
                  <w:rPr>
                    <w:noProof/>
                    <w:w w:val="99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F6B52"/>
    <w:multiLevelType w:val="hybridMultilevel"/>
    <w:tmpl w:val="073E3A62"/>
    <w:lvl w:ilvl="0" w:tplc="0BA29576">
      <w:start w:val="1"/>
      <w:numFmt w:val="decimal"/>
      <w:lvlText w:val="%1."/>
      <w:lvlJc w:val="left"/>
      <w:pPr>
        <w:ind w:left="107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4B02F660">
      <w:numFmt w:val="bullet"/>
      <w:lvlText w:val="•"/>
      <w:lvlJc w:val="left"/>
      <w:pPr>
        <w:ind w:left="1102" w:hanging="202"/>
      </w:pPr>
      <w:rPr>
        <w:rFonts w:hint="default"/>
      </w:rPr>
    </w:lvl>
    <w:lvl w:ilvl="2" w:tplc="6512DA34">
      <w:numFmt w:val="bullet"/>
      <w:lvlText w:val="•"/>
      <w:lvlJc w:val="left"/>
      <w:pPr>
        <w:ind w:left="2104" w:hanging="202"/>
      </w:pPr>
      <w:rPr>
        <w:rFonts w:hint="default"/>
      </w:rPr>
    </w:lvl>
    <w:lvl w:ilvl="3" w:tplc="BDCCD9EC">
      <w:numFmt w:val="bullet"/>
      <w:lvlText w:val="•"/>
      <w:lvlJc w:val="left"/>
      <w:pPr>
        <w:ind w:left="3106" w:hanging="202"/>
      </w:pPr>
      <w:rPr>
        <w:rFonts w:hint="default"/>
      </w:rPr>
    </w:lvl>
    <w:lvl w:ilvl="4" w:tplc="E56CF9AC">
      <w:numFmt w:val="bullet"/>
      <w:lvlText w:val="•"/>
      <w:lvlJc w:val="left"/>
      <w:pPr>
        <w:ind w:left="4108" w:hanging="202"/>
      </w:pPr>
      <w:rPr>
        <w:rFonts w:hint="default"/>
      </w:rPr>
    </w:lvl>
    <w:lvl w:ilvl="5" w:tplc="E8FCACCC">
      <w:numFmt w:val="bullet"/>
      <w:lvlText w:val="•"/>
      <w:lvlJc w:val="left"/>
      <w:pPr>
        <w:ind w:left="5110" w:hanging="202"/>
      </w:pPr>
      <w:rPr>
        <w:rFonts w:hint="default"/>
      </w:rPr>
    </w:lvl>
    <w:lvl w:ilvl="6" w:tplc="82D6B5E6">
      <w:numFmt w:val="bullet"/>
      <w:lvlText w:val="•"/>
      <w:lvlJc w:val="left"/>
      <w:pPr>
        <w:ind w:left="6112" w:hanging="202"/>
      </w:pPr>
      <w:rPr>
        <w:rFonts w:hint="default"/>
      </w:rPr>
    </w:lvl>
    <w:lvl w:ilvl="7" w:tplc="B0E272C4">
      <w:numFmt w:val="bullet"/>
      <w:lvlText w:val="•"/>
      <w:lvlJc w:val="left"/>
      <w:pPr>
        <w:ind w:left="7114" w:hanging="202"/>
      </w:pPr>
      <w:rPr>
        <w:rFonts w:hint="default"/>
      </w:rPr>
    </w:lvl>
    <w:lvl w:ilvl="8" w:tplc="2E5CE6E4">
      <w:numFmt w:val="bullet"/>
      <w:lvlText w:val="•"/>
      <w:lvlJc w:val="left"/>
      <w:pPr>
        <w:ind w:left="8116" w:hanging="20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05FA"/>
    <w:rsid w:val="00196A36"/>
    <w:rsid w:val="003A34AC"/>
    <w:rsid w:val="009305FA"/>
    <w:rsid w:val="009D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A51EDF"/>
  <w15:docId w15:val="{DA1E9714-56C7-4EB2-9171-7CBA3C5A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isseva@caesar.elt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764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KolloidikaI._magyar_2018-2019</vt:lpstr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KolloidikaI._magyar_2018-2019</dc:title>
  <dc:creator>Nonlin</dc:creator>
  <cp:lastModifiedBy>Ambrus Péter</cp:lastModifiedBy>
  <cp:revision>3</cp:revision>
  <dcterms:created xsi:type="dcterms:W3CDTF">2018-04-27T09:35:00Z</dcterms:created>
  <dcterms:modified xsi:type="dcterms:W3CDTF">2018-04-27T09:40:00Z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PDFCreator 2.5.3.6324</vt:lpwstr>
  </property>
  <property fmtid="{D5CDD505-2E9C-101B-9397-08002B2CF9AE}" pid="4" name="LastSaved">
    <vt:filetime>2018-04-27T00:00:00Z</vt:filetime>
  </property>
</Properties>
</file>