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1265"/>
        <w:gridCol w:w="1080"/>
        <w:gridCol w:w="1260"/>
        <w:gridCol w:w="847"/>
        <w:gridCol w:w="765"/>
        <w:gridCol w:w="2157"/>
        <w:gridCol w:w="1474"/>
      </w:tblGrid>
      <w:tr w:rsidR="00B54896">
        <w:trPr>
          <w:trHeight w:val="918"/>
        </w:trPr>
        <w:tc>
          <w:tcPr>
            <w:tcW w:w="10084" w:type="dxa"/>
            <w:gridSpan w:val="8"/>
          </w:tcPr>
          <w:p w:rsidR="00B54896" w:rsidRDefault="00B54896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B54896" w:rsidRDefault="00BF455C">
            <w:pPr>
              <w:pStyle w:val="TableParagraph"/>
              <w:spacing w:before="1"/>
              <w:ind w:left="3419" w:right="34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2018/2019. TANÉVBEN ÉRVÉNYES TANTÁRGYI PROGRAM</w:t>
            </w:r>
          </w:p>
        </w:tc>
      </w:tr>
      <w:tr w:rsidR="00B54896">
        <w:trPr>
          <w:trHeight w:val="230"/>
        </w:trPr>
        <w:tc>
          <w:tcPr>
            <w:tcW w:w="10084" w:type="dxa"/>
            <w:gridSpan w:val="8"/>
          </w:tcPr>
          <w:p w:rsidR="00B54896" w:rsidRDefault="00BF455C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Tantárgy teljes neve: </w:t>
            </w:r>
            <w:bookmarkStart w:id="0" w:name="_GoBack"/>
            <w:r w:rsidRPr="0090084A">
              <w:rPr>
                <w:b/>
                <w:sz w:val="20"/>
              </w:rPr>
              <w:t>ÁLTALÁNOS ÉS SZERVETLEN KÉMIA II.</w:t>
            </w:r>
            <w:bookmarkEnd w:id="0"/>
          </w:p>
        </w:tc>
      </w:tr>
      <w:tr w:rsidR="00B54896">
        <w:trPr>
          <w:trHeight w:val="230"/>
        </w:trPr>
        <w:tc>
          <w:tcPr>
            <w:tcW w:w="10084" w:type="dxa"/>
            <w:gridSpan w:val="8"/>
          </w:tcPr>
          <w:p w:rsidR="00B54896" w:rsidRDefault="003A2E8C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Képzés: </w:t>
            </w:r>
            <w:r w:rsidRPr="003A2E8C">
              <w:rPr>
                <w:sz w:val="20"/>
              </w:rPr>
              <w:t>egységes,osztatlan</w:t>
            </w:r>
          </w:p>
        </w:tc>
      </w:tr>
      <w:tr w:rsidR="00B54896">
        <w:trPr>
          <w:trHeight w:val="230"/>
        </w:trPr>
        <w:tc>
          <w:tcPr>
            <w:tcW w:w="10084" w:type="dxa"/>
            <w:gridSpan w:val="8"/>
          </w:tcPr>
          <w:p w:rsidR="00B54896" w:rsidRDefault="00BF455C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Munkarend: </w:t>
            </w:r>
            <w:r w:rsidRPr="003A2E8C">
              <w:rPr>
                <w:sz w:val="20"/>
              </w:rPr>
              <w:t>nappali</w:t>
            </w:r>
          </w:p>
        </w:tc>
      </w:tr>
      <w:tr w:rsidR="00B54896">
        <w:trPr>
          <w:trHeight w:val="230"/>
        </w:trPr>
        <w:tc>
          <w:tcPr>
            <w:tcW w:w="10084" w:type="dxa"/>
            <w:gridSpan w:val="8"/>
          </w:tcPr>
          <w:p w:rsidR="00B54896" w:rsidRDefault="00BF455C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Tantárgy rövidített neve:</w:t>
            </w:r>
          </w:p>
        </w:tc>
      </w:tr>
      <w:tr w:rsidR="00B54896">
        <w:trPr>
          <w:trHeight w:val="230"/>
        </w:trPr>
        <w:tc>
          <w:tcPr>
            <w:tcW w:w="10084" w:type="dxa"/>
            <w:gridSpan w:val="8"/>
          </w:tcPr>
          <w:p w:rsidR="00B54896" w:rsidRDefault="00BF455C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Tantárgy angol neve: </w:t>
            </w:r>
            <w:r w:rsidRPr="003A2E8C">
              <w:rPr>
                <w:sz w:val="20"/>
              </w:rPr>
              <w:t>GENERAL AND INORGANIC CHEMISTRY II</w:t>
            </w:r>
          </w:p>
        </w:tc>
      </w:tr>
      <w:tr w:rsidR="00B54896">
        <w:trPr>
          <w:trHeight w:val="254"/>
        </w:trPr>
        <w:tc>
          <w:tcPr>
            <w:tcW w:w="10084" w:type="dxa"/>
            <w:gridSpan w:val="8"/>
          </w:tcPr>
          <w:p w:rsidR="00B54896" w:rsidRDefault="00BF455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z w:val="20"/>
              </w:rPr>
              <w:t xml:space="preserve">Tantárgy neptun kódja: </w:t>
            </w:r>
            <w:r w:rsidRPr="003A2E8C">
              <w:t>GY</w:t>
            </w:r>
            <w:r w:rsidR="003A2E8C">
              <w:t>AS</w:t>
            </w:r>
            <w:r w:rsidRPr="003A2E8C">
              <w:t>KASKE2M</w:t>
            </w:r>
          </w:p>
        </w:tc>
      </w:tr>
      <w:tr w:rsidR="00B54896">
        <w:trPr>
          <w:trHeight w:val="229"/>
        </w:trPr>
        <w:tc>
          <w:tcPr>
            <w:tcW w:w="10084" w:type="dxa"/>
            <w:gridSpan w:val="8"/>
            <w:tcBorders>
              <w:bottom w:val="single" w:sz="8" w:space="0" w:color="000000"/>
            </w:tcBorders>
          </w:tcPr>
          <w:p w:rsidR="00B54896" w:rsidRDefault="00BF455C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Tantárgy besorolása: </w:t>
            </w:r>
            <w:r w:rsidRPr="003A2E8C">
              <w:rPr>
                <w:sz w:val="20"/>
              </w:rPr>
              <w:t>kötelező</w:t>
            </w:r>
          </w:p>
        </w:tc>
      </w:tr>
      <w:tr w:rsidR="00B54896">
        <w:trPr>
          <w:trHeight w:val="2068"/>
        </w:trPr>
        <w:tc>
          <w:tcPr>
            <w:tcW w:w="4841" w:type="dxa"/>
            <w:gridSpan w:val="4"/>
            <w:tcBorders>
              <w:top w:val="single" w:sz="8" w:space="0" w:color="000000"/>
            </w:tcBorders>
          </w:tcPr>
          <w:p w:rsidR="00B54896" w:rsidRDefault="00BF455C">
            <w:pPr>
              <w:pStyle w:val="TableParagraph"/>
              <w:ind w:right="1998"/>
              <w:rPr>
                <w:b/>
                <w:sz w:val="20"/>
              </w:rPr>
            </w:pPr>
            <w:r>
              <w:rPr>
                <w:b/>
                <w:sz w:val="20"/>
              </w:rPr>
              <w:t>A tantárgyfelelős neve: Ungvárainé dr Nagy Zsuzsanna</w:t>
            </w:r>
          </w:p>
          <w:p w:rsidR="00B54896" w:rsidRDefault="00BF455C">
            <w:pPr>
              <w:pStyle w:val="TableParagraph"/>
              <w:spacing w:line="228" w:lineRule="exact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Elérhetőség:</w:t>
            </w:r>
          </w:p>
          <w:p w:rsidR="00B54896" w:rsidRDefault="00BF455C">
            <w:pPr>
              <w:pStyle w:val="TableParagraph"/>
              <w:ind w:left="410"/>
              <w:rPr>
                <w:b/>
                <w:sz w:val="20"/>
              </w:rPr>
            </w:pPr>
            <w:r>
              <w:rPr>
                <w:b/>
                <w:sz w:val="20"/>
              </w:rPr>
              <w:t>- telefon: 372 2500 /1205</w:t>
            </w:r>
          </w:p>
          <w:p w:rsidR="00B54896" w:rsidRDefault="00BF455C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ind w:right="1574" w:firstLine="303"/>
              <w:rPr>
                <w:b/>
                <w:sz w:val="20"/>
              </w:rPr>
            </w:pPr>
            <w:r>
              <w:rPr>
                <w:b/>
                <w:sz w:val="20"/>
              </w:rPr>
              <w:t>e-mail:</w:t>
            </w:r>
            <w:r>
              <w:rPr>
                <w:b/>
                <w:color w:val="0000FF"/>
                <w:sz w:val="20"/>
              </w:rPr>
              <w:t xml:space="preserve"> </w:t>
            </w:r>
            <w:hyperlink r:id="rId7">
              <w:r>
                <w:rPr>
                  <w:b/>
                  <w:color w:val="0000FF"/>
                  <w:sz w:val="20"/>
                  <w:u w:val="single" w:color="0000FF"/>
                </w:rPr>
                <w:t>ungvarai@chem.elte.hu</w:t>
              </w:r>
            </w:hyperlink>
            <w:r>
              <w:rPr>
                <w:b/>
                <w:sz w:val="20"/>
              </w:rPr>
              <w:t xml:space="preserve"> Dr. Szalai István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(elmélet)</w:t>
            </w:r>
          </w:p>
          <w:p w:rsidR="00B54896" w:rsidRDefault="00BF455C">
            <w:pPr>
              <w:pStyle w:val="TableParagraph"/>
              <w:ind w:left="309"/>
              <w:rPr>
                <w:sz w:val="20"/>
              </w:rPr>
            </w:pPr>
            <w:r>
              <w:rPr>
                <w:b/>
                <w:sz w:val="20"/>
              </w:rPr>
              <w:t xml:space="preserve">Elérhetőség: </w:t>
            </w:r>
            <w:r>
              <w:rPr>
                <w:sz w:val="20"/>
              </w:rPr>
              <w:t>1117 Budapest, Pázmány P. sétány 1/a.</w:t>
            </w:r>
          </w:p>
          <w:p w:rsidR="00B54896" w:rsidRDefault="00BF455C">
            <w:pPr>
              <w:pStyle w:val="TableParagraph"/>
              <w:spacing w:line="229" w:lineRule="exact"/>
              <w:ind w:left="410"/>
              <w:rPr>
                <w:sz w:val="20"/>
              </w:rPr>
            </w:pPr>
            <w:r>
              <w:rPr>
                <w:b/>
                <w:sz w:val="20"/>
              </w:rPr>
              <w:t xml:space="preserve">- telefon: </w:t>
            </w:r>
            <w:r>
              <w:rPr>
                <w:color w:val="323232"/>
                <w:sz w:val="20"/>
              </w:rPr>
              <w:t>+36-1-372-2500 / 1902</w:t>
            </w:r>
          </w:p>
          <w:p w:rsidR="00B54896" w:rsidRDefault="00BF455C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line="217" w:lineRule="exact"/>
              <w:ind w:left="527" w:hanging="117"/>
              <w:rPr>
                <w:sz w:val="20"/>
              </w:rPr>
            </w:pPr>
            <w:r>
              <w:rPr>
                <w:b/>
                <w:sz w:val="20"/>
              </w:rPr>
              <w:t>e-mail:</w:t>
            </w:r>
            <w:r>
              <w:rPr>
                <w:b/>
                <w:spacing w:val="49"/>
                <w:sz w:val="20"/>
              </w:rPr>
              <w:t xml:space="preserve"> </w:t>
            </w:r>
            <w:hyperlink r:id="rId8">
              <w:r>
                <w:rPr>
                  <w:sz w:val="20"/>
                </w:rPr>
                <w:t>szalai.istvan@chem.elte.hu</w:t>
              </w:r>
            </w:hyperlink>
          </w:p>
        </w:tc>
        <w:tc>
          <w:tcPr>
            <w:tcW w:w="5243" w:type="dxa"/>
            <w:gridSpan w:val="4"/>
            <w:tcBorders>
              <w:top w:val="single" w:sz="8" w:space="0" w:color="000000"/>
            </w:tcBorders>
          </w:tcPr>
          <w:p w:rsidR="00B54896" w:rsidRDefault="00BF455C">
            <w:pPr>
              <w:pStyle w:val="TableParagraph"/>
              <w:spacing w:line="222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Beosztás, tudományos fokozat:</w:t>
            </w:r>
          </w:p>
          <w:p w:rsidR="00B54896" w:rsidRDefault="00BF45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egyetemi docens, kémiai tudomány kandidátusa</w:t>
            </w:r>
          </w:p>
          <w:p w:rsidR="00B54896" w:rsidRDefault="00B54896">
            <w:pPr>
              <w:pStyle w:val="TableParagraph"/>
              <w:ind w:left="0"/>
              <w:rPr>
                <w:sz w:val="20"/>
              </w:rPr>
            </w:pPr>
          </w:p>
          <w:p w:rsidR="00B54896" w:rsidRDefault="00B54896">
            <w:pPr>
              <w:pStyle w:val="TableParagraph"/>
              <w:ind w:left="0"/>
              <w:rPr>
                <w:sz w:val="20"/>
              </w:rPr>
            </w:pPr>
          </w:p>
          <w:p w:rsidR="00B54896" w:rsidRDefault="00B54896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:rsidR="00B54896" w:rsidRDefault="00BF45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egy. docens, MTA doktora</w:t>
            </w:r>
          </w:p>
        </w:tc>
      </w:tr>
      <w:tr w:rsidR="00B54896">
        <w:trPr>
          <w:trHeight w:val="690"/>
        </w:trPr>
        <w:tc>
          <w:tcPr>
            <w:tcW w:w="4841" w:type="dxa"/>
            <w:gridSpan w:val="4"/>
          </w:tcPr>
          <w:p w:rsidR="00B54896" w:rsidRDefault="00BF455C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oktatásában résztvevő(k) neve(i):</w:t>
            </w:r>
          </w:p>
        </w:tc>
        <w:tc>
          <w:tcPr>
            <w:tcW w:w="5243" w:type="dxa"/>
            <w:gridSpan w:val="4"/>
          </w:tcPr>
          <w:p w:rsidR="00B54896" w:rsidRDefault="00BF455C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Beosztás, tudományos fokozat:</w:t>
            </w:r>
          </w:p>
        </w:tc>
      </w:tr>
      <w:tr w:rsidR="00B54896">
        <w:trPr>
          <w:trHeight w:val="604"/>
        </w:trPr>
        <w:tc>
          <w:tcPr>
            <w:tcW w:w="4841" w:type="dxa"/>
            <w:gridSpan w:val="4"/>
          </w:tcPr>
          <w:p w:rsidR="00B54896" w:rsidRDefault="00BF455C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heti óraszáma: 3</w:t>
            </w:r>
          </w:p>
        </w:tc>
        <w:tc>
          <w:tcPr>
            <w:tcW w:w="5243" w:type="dxa"/>
            <w:gridSpan w:val="4"/>
          </w:tcPr>
          <w:p w:rsidR="00B54896" w:rsidRDefault="00BF455C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kreditpontja: 3</w:t>
            </w:r>
          </w:p>
        </w:tc>
      </w:tr>
      <w:tr w:rsidR="00B54896">
        <w:trPr>
          <w:trHeight w:val="782"/>
        </w:trPr>
        <w:tc>
          <w:tcPr>
            <w:tcW w:w="10084" w:type="dxa"/>
            <w:gridSpan w:val="8"/>
          </w:tcPr>
          <w:p w:rsidR="00B54896" w:rsidRDefault="00BF455C">
            <w:pPr>
              <w:pStyle w:val="TableParagraph"/>
              <w:ind w:hanging="1"/>
              <w:rPr>
                <w:sz w:val="24"/>
              </w:rPr>
            </w:pPr>
            <w:r>
              <w:rPr>
                <w:b/>
                <w:sz w:val="20"/>
              </w:rPr>
              <w:t xml:space="preserve">A tantárgy feladata a szakképzés céljának megvalósításában: </w:t>
            </w:r>
            <w:r>
              <w:rPr>
                <w:sz w:val="24"/>
              </w:rPr>
              <w:t>Az alapvetõ szervetlen, bioszervetlen és környezeti kémiai ismeretek elsajátítása.</w:t>
            </w:r>
          </w:p>
        </w:tc>
      </w:tr>
      <w:tr w:rsidR="00B54896">
        <w:trPr>
          <w:trHeight w:val="2668"/>
        </w:trPr>
        <w:tc>
          <w:tcPr>
            <w:tcW w:w="10084" w:type="dxa"/>
            <w:gridSpan w:val="8"/>
          </w:tcPr>
          <w:p w:rsidR="00B54896" w:rsidRDefault="00BF455C">
            <w:pPr>
              <w:pStyle w:val="TableParagraph"/>
              <w:ind w:right="350"/>
              <w:rPr>
                <w:sz w:val="24"/>
              </w:rPr>
            </w:pPr>
            <w:r>
              <w:rPr>
                <w:b/>
                <w:sz w:val="20"/>
              </w:rPr>
              <w:t xml:space="preserve">A tantárgy rövid leírása: </w:t>
            </w:r>
            <w:r>
              <w:rPr>
                <w:sz w:val="24"/>
              </w:rPr>
              <w:t>Az elemek és vegyületek szervetlen kémiai jellemzésének módja az általános kémiában tanult törvényszerűségek felhasználásával. Az elemek és a szervetlen vegyületek legfontosabb tulajdonságainak megismerése, különös tekintettel azok élettani hatására valamint gyógyászati alkalmazhatóságára. A tantárgy az általános kémiában tanult törvényszerûségekre épül, felhasználja illetve magyarázza a párhuzamosan oktatott kvalitatív analitikai kémiai és biofizikai ismereteket, és utal a tantárgy késõbbi (analitikai kémiai, szerves kémiai, biokémiai, technológiai és gyógyszerészi kémiai) tanulmányok során történõ alkalmazhatóságára.</w:t>
            </w:r>
          </w:p>
        </w:tc>
      </w:tr>
      <w:tr w:rsidR="00B54896">
        <w:trPr>
          <w:trHeight w:val="230"/>
        </w:trPr>
        <w:tc>
          <w:tcPr>
            <w:tcW w:w="10084" w:type="dxa"/>
            <w:gridSpan w:val="8"/>
          </w:tcPr>
          <w:p w:rsidR="00B54896" w:rsidRDefault="00BF455C">
            <w:pPr>
              <w:pStyle w:val="TableParagraph"/>
              <w:spacing w:line="210" w:lineRule="exact"/>
              <w:ind w:left="332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Az adott félévi kurzusra vonatkozó adatok</w:t>
            </w:r>
          </w:p>
        </w:tc>
      </w:tr>
      <w:tr w:rsidR="00B54896">
        <w:trPr>
          <w:trHeight w:val="969"/>
        </w:trPr>
        <w:tc>
          <w:tcPr>
            <w:tcW w:w="1236" w:type="dxa"/>
          </w:tcPr>
          <w:p w:rsidR="00B54896" w:rsidRDefault="00BF455C">
            <w:pPr>
              <w:pStyle w:val="TableParagraph"/>
              <w:spacing w:before="111"/>
              <w:ind w:left="134" w:right="122"/>
              <w:jc w:val="center"/>
              <w:rPr>
                <w:sz w:val="18"/>
              </w:rPr>
            </w:pPr>
            <w:r>
              <w:rPr>
                <w:sz w:val="18"/>
              </w:rPr>
              <w:t>Tárgyfelvétel ajánlott féléve</w:t>
            </w:r>
          </w:p>
        </w:tc>
        <w:tc>
          <w:tcPr>
            <w:tcW w:w="1265" w:type="dxa"/>
          </w:tcPr>
          <w:p w:rsidR="00B54896" w:rsidRDefault="00B54896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B54896" w:rsidRDefault="00BF455C">
            <w:pPr>
              <w:pStyle w:val="TableParagraph"/>
              <w:spacing w:before="1"/>
              <w:ind w:left="342" w:right="3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 xml:space="preserve">Kontakt </w:t>
            </w:r>
            <w:r>
              <w:rPr>
                <w:sz w:val="18"/>
              </w:rPr>
              <w:t>elméleti óra</w:t>
            </w:r>
          </w:p>
        </w:tc>
        <w:tc>
          <w:tcPr>
            <w:tcW w:w="1080" w:type="dxa"/>
          </w:tcPr>
          <w:p w:rsidR="00B54896" w:rsidRDefault="00B54896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B54896" w:rsidRDefault="00BF455C">
            <w:pPr>
              <w:pStyle w:val="TableParagraph"/>
              <w:spacing w:before="1"/>
              <w:ind w:left="174" w:right="163"/>
              <w:jc w:val="center"/>
              <w:rPr>
                <w:sz w:val="18"/>
              </w:rPr>
            </w:pPr>
            <w:r>
              <w:rPr>
                <w:sz w:val="18"/>
              </w:rPr>
              <w:t>Kontakt gyakorlati óra</w:t>
            </w:r>
          </w:p>
        </w:tc>
        <w:tc>
          <w:tcPr>
            <w:tcW w:w="1260" w:type="dxa"/>
          </w:tcPr>
          <w:p w:rsidR="00B54896" w:rsidRDefault="00B54896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B54896" w:rsidRDefault="00BF455C">
            <w:pPr>
              <w:pStyle w:val="TableParagraph"/>
              <w:spacing w:before="1"/>
              <w:ind w:left="110" w:right="80" w:firstLine="228"/>
              <w:rPr>
                <w:sz w:val="18"/>
              </w:rPr>
            </w:pPr>
            <w:r>
              <w:rPr>
                <w:sz w:val="18"/>
              </w:rPr>
              <w:t>Kontakt demonstrációs gyakorlati óra</w:t>
            </w:r>
          </w:p>
        </w:tc>
        <w:tc>
          <w:tcPr>
            <w:tcW w:w="847" w:type="dxa"/>
          </w:tcPr>
          <w:p w:rsidR="00B54896" w:rsidRDefault="00B5489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B54896" w:rsidRDefault="00BF455C">
            <w:pPr>
              <w:pStyle w:val="TableParagraph"/>
              <w:ind w:left="309" w:right="138" w:hanging="140"/>
              <w:rPr>
                <w:sz w:val="18"/>
              </w:rPr>
            </w:pPr>
            <w:r>
              <w:rPr>
                <w:sz w:val="18"/>
              </w:rPr>
              <w:t>Egyéni óra</w:t>
            </w:r>
          </w:p>
        </w:tc>
        <w:tc>
          <w:tcPr>
            <w:tcW w:w="765" w:type="dxa"/>
          </w:tcPr>
          <w:p w:rsidR="00B54896" w:rsidRDefault="00B5489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B54896" w:rsidRDefault="00BF455C">
            <w:pPr>
              <w:pStyle w:val="TableParagraph"/>
              <w:ind w:left="268" w:right="102" w:hanging="135"/>
              <w:rPr>
                <w:sz w:val="18"/>
              </w:rPr>
            </w:pPr>
            <w:r>
              <w:rPr>
                <w:sz w:val="18"/>
              </w:rPr>
              <w:t>Összes óra</w:t>
            </w:r>
          </w:p>
        </w:tc>
        <w:tc>
          <w:tcPr>
            <w:tcW w:w="2157" w:type="dxa"/>
          </w:tcPr>
          <w:p w:rsidR="00B54896" w:rsidRDefault="00B5489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B54896" w:rsidRDefault="00BF455C">
            <w:pPr>
              <w:pStyle w:val="TableParagraph"/>
              <w:ind w:left="646" w:right="596" w:hanging="15"/>
              <w:rPr>
                <w:sz w:val="18"/>
              </w:rPr>
            </w:pPr>
            <w:r>
              <w:rPr>
                <w:sz w:val="18"/>
              </w:rPr>
              <w:t>Meghirdetés gyakorisága</w:t>
            </w:r>
          </w:p>
        </w:tc>
        <w:tc>
          <w:tcPr>
            <w:tcW w:w="1474" w:type="dxa"/>
          </w:tcPr>
          <w:p w:rsidR="00B54896" w:rsidRDefault="00B5489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B54896" w:rsidRDefault="00BF455C">
            <w:pPr>
              <w:pStyle w:val="TableParagraph"/>
              <w:ind w:left="512" w:right="224" w:hanging="262"/>
              <w:rPr>
                <w:sz w:val="18"/>
              </w:rPr>
            </w:pPr>
            <w:r>
              <w:rPr>
                <w:sz w:val="18"/>
              </w:rPr>
              <w:t>Konzultációk száma</w:t>
            </w:r>
          </w:p>
        </w:tc>
      </w:tr>
      <w:tr w:rsidR="00B54896">
        <w:trPr>
          <w:trHeight w:val="1058"/>
        </w:trPr>
        <w:tc>
          <w:tcPr>
            <w:tcW w:w="1236" w:type="dxa"/>
          </w:tcPr>
          <w:p w:rsidR="00B54896" w:rsidRDefault="00B54896">
            <w:pPr>
              <w:pStyle w:val="TableParagraph"/>
              <w:ind w:left="0"/>
            </w:pPr>
          </w:p>
          <w:p w:rsidR="00B54896" w:rsidRDefault="003A2E8C">
            <w:pPr>
              <w:pStyle w:val="TableParagraph"/>
              <w:spacing w:before="154"/>
              <w:ind w:left="112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="00BF455C">
              <w:rPr>
                <w:sz w:val="20"/>
              </w:rPr>
              <w:t>félévtől</w:t>
            </w:r>
          </w:p>
        </w:tc>
        <w:tc>
          <w:tcPr>
            <w:tcW w:w="1265" w:type="dxa"/>
          </w:tcPr>
          <w:p w:rsidR="00B54896" w:rsidRDefault="00B54896">
            <w:pPr>
              <w:pStyle w:val="TableParagraph"/>
              <w:ind w:left="0"/>
              <w:rPr>
                <w:sz w:val="20"/>
              </w:rPr>
            </w:pPr>
          </w:p>
          <w:p w:rsidR="00B54896" w:rsidRDefault="003A2E8C">
            <w:pPr>
              <w:pStyle w:val="TableParagraph"/>
              <w:spacing w:before="17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42</w:t>
            </w:r>
          </w:p>
        </w:tc>
        <w:tc>
          <w:tcPr>
            <w:tcW w:w="1080" w:type="dxa"/>
          </w:tcPr>
          <w:p w:rsidR="00B54896" w:rsidRDefault="00B54896">
            <w:pPr>
              <w:pStyle w:val="TableParagraph"/>
              <w:ind w:left="0"/>
              <w:rPr>
                <w:sz w:val="20"/>
              </w:rPr>
            </w:pPr>
          </w:p>
          <w:p w:rsidR="00B54896" w:rsidRDefault="00BF455C">
            <w:pPr>
              <w:pStyle w:val="TableParagraph"/>
              <w:spacing w:before="17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60" w:type="dxa"/>
          </w:tcPr>
          <w:p w:rsidR="00B54896" w:rsidRDefault="00B54896">
            <w:pPr>
              <w:pStyle w:val="TableParagraph"/>
              <w:ind w:left="0"/>
              <w:rPr>
                <w:sz w:val="20"/>
              </w:rPr>
            </w:pPr>
          </w:p>
          <w:p w:rsidR="00B54896" w:rsidRDefault="00BF455C">
            <w:pPr>
              <w:pStyle w:val="TableParagraph"/>
              <w:spacing w:before="17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47" w:type="dxa"/>
          </w:tcPr>
          <w:p w:rsidR="00B54896" w:rsidRDefault="00B54896">
            <w:pPr>
              <w:pStyle w:val="TableParagraph"/>
              <w:ind w:left="0"/>
              <w:rPr>
                <w:sz w:val="20"/>
              </w:rPr>
            </w:pPr>
          </w:p>
          <w:p w:rsidR="00B54896" w:rsidRDefault="00BF455C">
            <w:pPr>
              <w:pStyle w:val="TableParagraph"/>
              <w:spacing w:before="17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65" w:type="dxa"/>
          </w:tcPr>
          <w:p w:rsidR="00B54896" w:rsidRDefault="00B54896">
            <w:pPr>
              <w:pStyle w:val="TableParagraph"/>
              <w:ind w:left="0"/>
              <w:rPr>
                <w:sz w:val="20"/>
              </w:rPr>
            </w:pPr>
          </w:p>
          <w:p w:rsidR="00B54896" w:rsidRDefault="003A2E8C">
            <w:pPr>
              <w:pStyle w:val="TableParagraph"/>
              <w:spacing w:before="17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42</w:t>
            </w:r>
          </w:p>
        </w:tc>
        <w:tc>
          <w:tcPr>
            <w:tcW w:w="2157" w:type="dxa"/>
          </w:tcPr>
          <w:p w:rsidR="00B54896" w:rsidRDefault="00BF455C">
            <w:pPr>
              <w:pStyle w:val="TableParagraph"/>
              <w:spacing w:line="237" w:lineRule="auto"/>
              <w:ind w:left="110" w:right="177" w:hanging="1"/>
              <w:rPr>
                <w:sz w:val="12"/>
              </w:rPr>
            </w:pPr>
            <w:r>
              <w:rPr>
                <w:sz w:val="18"/>
              </w:rPr>
              <w:t>Őszi szemeszterben</w:t>
            </w:r>
            <w:r>
              <w:rPr>
                <w:position w:val="6"/>
                <w:sz w:val="12"/>
              </w:rPr>
              <w:t xml:space="preserve">* </w:t>
            </w:r>
            <w:r w:rsidRPr="003A2E8C">
              <w:rPr>
                <w:sz w:val="18"/>
                <w:u w:val="single"/>
              </w:rPr>
              <w:t>Tavaszi szemeszter</w:t>
            </w:r>
            <w:r w:rsidRPr="003A2E8C">
              <w:rPr>
                <w:position w:val="6"/>
                <w:sz w:val="12"/>
                <w:u w:val="single"/>
              </w:rPr>
              <w:t>*</w:t>
            </w:r>
            <w:r>
              <w:rPr>
                <w:position w:val="6"/>
                <w:sz w:val="12"/>
              </w:rPr>
              <w:t xml:space="preserve"> </w:t>
            </w:r>
            <w:r>
              <w:rPr>
                <w:sz w:val="20"/>
              </w:rPr>
              <w:t>Minkét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szemeszterben</w:t>
            </w:r>
            <w:r>
              <w:rPr>
                <w:position w:val="6"/>
                <w:sz w:val="12"/>
              </w:rPr>
              <w:t>*</w:t>
            </w:r>
          </w:p>
          <w:p w:rsidR="00B54896" w:rsidRDefault="00B54896">
            <w:pPr>
              <w:pStyle w:val="TableParagraph"/>
              <w:spacing w:before="10"/>
              <w:ind w:left="0"/>
              <w:rPr>
                <w:sz w:val="16"/>
              </w:rPr>
            </w:pPr>
          </w:p>
          <w:p w:rsidR="00B54896" w:rsidRDefault="00BF455C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position w:val="6"/>
                <w:sz w:val="12"/>
              </w:rPr>
              <w:t xml:space="preserve">*  </w:t>
            </w:r>
            <w:r>
              <w:rPr>
                <w:sz w:val="18"/>
              </w:rPr>
              <w:t>Megfelelő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aláhúzandó)</w:t>
            </w:r>
          </w:p>
        </w:tc>
        <w:tc>
          <w:tcPr>
            <w:tcW w:w="1474" w:type="dxa"/>
          </w:tcPr>
          <w:p w:rsidR="00B54896" w:rsidRDefault="00B54896">
            <w:pPr>
              <w:pStyle w:val="TableParagraph"/>
              <w:ind w:left="0"/>
              <w:rPr>
                <w:sz w:val="20"/>
              </w:rPr>
            </w:pPr>
          </w:p>
          <w:p w:rsidR="00B54896" w:rsidRDefault="00BF455C">
            <w:pPr>
              <w:pStyle w:val="TableParagraph"/>
              <w:spacing w:before="177"/>
              <w:ind w:left="216"/>
              <w:rPr>
                <w:sz w:val="20"/>
              </w:rPr>
            </w:pPr>
            <w:r>
              <w:rPr>
                <w:sz w:val="20"/>
              </w:rPr>
              <w:t>Igény szerint</w:t>
            </w:r>
          </w:p>
        </w:tc>
      </w:tr>
    </w:tbl>
    <w:p w:rsidR="00B54896" w:rsidRDefault="00B54896">
      <w:pPr>
        <w:rPr>
          <w:sz w:val="20"/>
        </w:rPr>
        <w:sectPr w:rsidR="00B54896">
          <w:type w:val="continuous"/>
          <w:pgSz w:w="11900" w:h="16840"/>
          <w:pgMar w:top="860" w:right="660" w:bottom="280" w:left="920" w:header="708" w:footer="708" w:gutter="0"/>
          <w:cols w:space="708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2"/>
      </w:tblGrid>
      <w:tr w:rsidR="00B54896">
        <w:trPr>
          <w:trHeight w:val="230"/>
        </w:trPr>
        <w:tc>
          <w:tcPr>
            <w:tcW w:w="10082" w:type="dxa"/>
          </w:tcPr>
          <w:p w:rsidR="00B54896" w:rsidRDefault="00BF455C">
            <w:pPr>
              <w:pStyle w:val="TableParagraph"/>
              <w:spacing w:line="210" w:lineRule="exact"/>
              <w:ind w:left="0" w:right="378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A kurzus oktatásának időterve</w:t>
            </w:r>
          </w:p>
        </w:tc>
      </w:tr>
      <w:tr w:rsidR="00B54896">
        <w:trPr>
          <w:trHeight w:val="11498"/>
        </w:trPr>
        <w:tc>
          <w:tcPr>
            <w:tcW w:w="10082" w:type="dxa"/>
          </w:tcPr>
          <w:p w:rsidR="00B54896" w:rsidRDefault="00BF455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Elméleti órák tematikája (heti bontásban):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line="229" w:lineRule="exact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</w:t>
            </w:r>
            <w:r>
              <w:rPr>
                <w:b/>
                <w:sz w:val="20"/>
              </w:rPr>
              <w:t xml:space="preserve">Bevezetés. </w:t>
            </w:r>
            <w:r>
              <w:rPr>
                <w:sz w:val="20"/>
              </w:rPr>
              <w:t>Az általános kémiában tanult legfontosabb törvényszerűségek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áttekintése.</w:t>
            </w:r>
          </w:p>
          <w:p w:rsidR="00B54896" w:rsidRDefault="00BF455C">
            <w:pPr>
              <w:pStyle w:val="TableParagraph"/>
              <w:ind w:right="420" w:hanging="1"/>
              <w:jc w:val="both"/>
              <w:rPr>
                <w:sz w:val="20"/>
              </w:rPr>
            </w:pPr>
            <w:r>
              <w:rPr>
                <w:sz w:val="20"/>
              </w:rPr>
              <w:t>Az elemek keletkezése, a Világegyetem elemösszetétele. A kémiai evolúció legfontosabb fázisai. A légkör evolúciója, a földi geológiai környezet elemösszetétele. Az élő szervezetek elemösszetétele. Létfontosságú elemek. A szervetlen, a szerves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biokémia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tárgyköre.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bioszervetlen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kémia kialakulása.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csoportosítása.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kémiai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periodicitás.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317"/>
              </w:tabs>
              <w:spacing w:before="1"/>
              <w:ind w:right="424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</w:t>
            </w:r>
            <w:r>
              <w:rPr>
                <w:b/>
                <w:sz w:val="20"/>
              </w:rPr>
              <w:t xml:space="preserve">A nemfémes elemek kémiája. </w:t>
            </w:r>
            <w:r>
              <w:rPr>
                <w:sz w:val="20"/>
              </w:rPr>
              <w:t xml:space="preserve">A </w:t>
            </w:r>
            <w:r>
              <w:rPr>
                <w:b/>
                <w:sz w:val="20"/>
              </w:rPr>
              <w:t xml:space="preserve">hidrogén </w:t>
            </w:r>
            <w:r>
              <w:rPr>
                <w:sz w:val="20"/>
              </w:rPr>
              <w:t>kémiai tulajdonságai, előfordulása, előállítása és felhasználása. Az ionos,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kovalens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fémes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hidridek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kémiája.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víz fizikai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kémiai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tulajdonságai. 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víz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szerepe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kémiai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reakciókban.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372"/>
              </w:tabs>
              <w:spacing w:before="1"/>
              <w:ind w:left="105" w:right="420" w:firstLine="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hét: A </w:t>
            </w:r>
            <w:r>
              <w:rPr>
                <w:b/>
                <w:sz w:val="20"/>
              </w:rPr>
              <w:t xml:space="preserve">nemesgázok </w:t>
            </w:r>
            <w:r>
              <w:rPr>
                <w:sz w:val="20"/>
              </w:rPr>
              <w:t xml:space="preserve">általános jellemzése, kémiai tulajdonságai, előfordulása és felhasználása. A nemesgáz- vegyületek jellemzése. A nemesgázok biológiai szerepe és élettani hatása. </w:t>
            </w:r>
            <w:r>
              <w:rPr>
                <w:i/>
                <w:sz w:val="20"/>
              </w:rPr>
              <w:t>Gyógyászati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alkalmazások.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387"/>
              </w:tabs>
              <w:ind w:left="105" w:right="422" w:firstLine="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hét: A </w:t>
            </w:r>
            <w:r>
              <w:rPr>
                <w:b/>
                <w:sz w:val="20"/>
              </w:rPr>
              <w:t xml:space="preserve">halogének </w:t>
            </w:r>
            <w:r>
              <w:rPr>
                <w:sz w:val="20"/>
              </w:rPr>
              <w:t xml:space="preserve">általános jellemzése, kémiai tulajdonságai, előfordulása, előállítása és felhasználása. A halogénvegyületek jellemzése. Oxisavak és oxianionok. A halogének biológiai szerepe és élettani hatása. </w:t>
            </w:r>
            <w:r>
              <w:rPr>
                <w:i/>
                <w:sz w:val="20"/>
              </w:rPr>
              <w:t>Gyógyászati alkalmazások.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344"/>
              </w:tabs>
              <w:ind w:left="105" w:right="42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Az </w:t>
            </w:r>
            <w:r>
              <w:rPr>
                <w:b/>
                <w:sz w:val="20"/>
              </w:rPr>
              <w:t xml:space="preserve">oxigéncsoport </w:t>
            </w:r>
            <w:r>
              <w:rPr>
                <w:sz w:val="20"/>
              </w:rPr>
              <w:t xml:space="preserve">általános jellemzése, kémiai tulajdonságai, előfordulása, előállítása és felhasználása. Az oxigén, az ózon, az oxidok, a peroxidok és a szuperoxidok jellemzése. Az </w:t>
            </w:r>
            <w:r>
              <w:rPr>
                <w:i/>
                <w:sz w:val="20"/>
              </w:rPr>
              <w:t>ózonciklus élettani és környezeti jelentősége</w:t>
            </w:r>
            <w:r>
              <w:rPr>
                <w:sz w:val="20"/>
              </w:rPr>
              <w:t xml:space="preserve">. A víz és jelentősége a geológiai, kémiai és biológiai folyamatokban. A természetben előforduló vizek. A kén és a szelén, valamint fontosabb vegyületeik jellemzése, biológiai jelentősége és </w:t>
            </w:r>
            <w:r>
              <w:rPr>
                <w:i/>
                <w:sz w:val="20"/>
              </w:rPr>
              <w:t>gyógyászati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alkalmazása</w:t>
            </w:r>
            <w:r>
              <w:rPr>
                <w:sz w:val="20"/>
              </w:rPr>
              <w:t>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ind w:left="105" w:right="42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A </w:t>
            </w:r>
            <w:r>
              <w:rPr>
                <w:b/>
                <w:sz w:val="20"/>
              </w:rPr>
              <w:t xml:space="preserve">nitrogéncsoport </w:t>
            </w:r>
            <w:r>
              <w:rPr>
                <w:sz w:val="20"/>
              </w:rPr>
              <w:t xml:space="preserve">általános jellemzése, kémiai tulajdonságai, elõfordulása, elõállítása és felhasználása. A nitrogén és a nitrogénvegyületek jellemzése, kémiatörténeti, biológiai és </w:t>
            </w:r>
            <w:r>
              <w:rPr>
                <w:i/>
                <w:sz w:val="20"/>
              </w:rPr>
              <w:t>gyógyászati jelentõsége</w:t>
            </w:r>
            <w:r>
              <w:rPr>
                <w:sz w:val="20"/>
              </w:rPr>
              <w:t xml:space="preserve">. A nitrogén körforgalma a természetben. A foszfor, arzén, antimon és bizmut, valamint vegyületeik jellemzése és </w:t>
            </w:r>
            <w:r>
              <w:rPr>
                <w:i/>
                <w:sz w:val="20"/>
              </w:rPr>
              <w:t>gyógyászati alkalmazása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polifoszfátok,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egyéb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biológiailag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fontos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foszfátészterek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P-O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kötés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jelentõsége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bioenergetikában.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341"/>
              </w:tabs>
              <w:ind w:right="42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A </w:t>
            </w:r>
            <w:r>
              <w:rPr>
                <w:b/>
                <w:sz w:val="20"/>
              </w:rPr>
              <w:t xml:space="preserve">széncsoport </w:t>
            </w:r>
            <w:r>
              <w:rPr>
                <w:sz w:val="20"/>
              </w:rPr>
              <w:t xml:space="preserve">általános jellemzése, kémiai tulajdonságai, elõfordulása, elõállítása és felhasználása. A szén elemi módosulatai, a gyémánt, a grafit és a fullerének. A természetes szenek, a széntelepek és a kõolajmezõk keletkezése. A szén néhány szervetlen vegyületének jellemzése. A szén és az oxigén körforgása a természetben. </w:t>
            </w:r>
            <w:r>
              <w:rPr>
                <w:i/>
                <w:sz w:val="20"/>
              </w:rPr>
              <w:t xml:space="preserve">Az üvegházhatás és a bioszféra-kísérletek. </w:t>
            </w:r>
            <w:r>
              <w:rPr>
                <w:sz w:val="20"/>
              </w:rPr>
              <w:t xml:space="preserve">A szilícium mint a geoszféra legfontosabb eleme. A szilikátok és agyagásványok. A szilikátipar rövid áttekintése. Üvegek, bioüveg. A szén és a szilícium tulajdonságainak összehasonlítása. A </w:t>
            </w:r>
            <w:r>
              <w:rPr>
                <w:b/>
                <w:sz w:val="20"/>
              </w:rPr>
              <w:t xml:space="preserve">bór </w:t>
            </w:r>
            <w:r>
              <w:rPr>
                <w:sz w:val="20"/>
              </w:rPr>
              <w:t xml:space="preserve">és néhány fontosabb bórvegyület jellemzése és </w:t>
            </w:r>
            <w:r>
              <w:rPr>
                <w:i/>
                <w:sz w:val="20"/>
              </w:rPr>
              <w:t>gyógyászati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alkalmazása</w:t>
            </w:r>
            <w:r>
              <w:rPr>
                <w:sz w:val="20"/>
              </w:rPr>
              <w:t>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42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</w:t>
            </w:r>
            <w:r>
              <w:rPr>
                <w:b/>
                <w:sz w:val="20"/>
              </w:rPr>
              <w:t xml:space="preserve">A fémes elemek kémiája. </w:t>
            </w:r>
            <w:r>
              <w:rPr>
                <w:sz w:val="20"/>
              </w:rPr>
              <w:t>A fémek tulajdonságainak általános jellemzése. A fémek előfordulása és elterjedése. A fémek kinyerésére és elõállítására szolgáló módszerek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áttekintése.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312"/>
              </w:tabs>
              <w:ind w:right="418" w:firstLine="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hét: Az </w:t>
            </w:r>
            <w:r>
              <w:rPr>
                <w:b/>
                <w:sz w:val="20"/>
              </w:rPr>
              <w:t xml:space="preserve">alkálifémek </w:t>
            </w:r>
            <w:r>
              <w:rPr>
                <w:sz w:val="20"/>
              </w:rPr>
              <w:t xml:space="preserve">általános jellemzése, kémiai tulajdonságai, elõfordulása, elõállítása és felhasználása. A nátrium és a kálium néhány fontosabb vegyületének jellemzése, valamint élettani jelentõsége. Az </w:t>
            </w:r>
            <w:r>
              <w:rPr>
                <w:b/>
                <w:sz w:val="20"/>
              </w:rPr>
              <w:t xml:space="preserve">alkáli földfémek </w:t>
            </w:r>
            <w:r>
              <w:rPr>
                <w:sz w:val="20"/>
              </w:rPr>
              <w:t xml:space="preserve">általános jellemzése, kémiai tulajdonságai, elõfordulása, elõállítása és felhasználása. A magnézium, a kalcium és a bárium néhány fontosabb vegyületének jellemzése, élettani hatása és </w:t>
            </w:r>
            <w:r>
              <w:rPr>
                <w:i/>
                <w:sz w:val="20"/>
              </w:rPr>
              <w:t>gyógyászati alkalmazása</w:t>
            </w:r>
            <w:r>
              <w:rPr>
                <w:sz w:val="20"/>
              </w:rPr>
              <w:t xml:space="preserve">. Az </w:t>
            </w:r>
            <w:r>
              <w:rPr>
                <w:b/>
                <w:sz w:val="20"/>
              </w:rPr>
              <w:t xml:space="preserve">alumíniumcsoport </w:t>
            </w:r>
            <w:r>
              <w:rPr>
                <w:sz w:val="20"/>
              </w:rPr>
              <w:t xml:space="preserve">és a fontosabb alumíniumvegyületek általános jellemzése, kémiai tulajdonságai, elõfordulása, elõállítása és felhasználása. </w:t>
            </w:r>
            <w:r>
              <w:rPr>
                <w:i/>
                <w:sz w:val="20"/>
              </w:rPr>
              <w:t>Az alumínium újrafelhasználásának gazdasági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jelentõsége.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</w:tabs>
              <w:ind w:right="419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Az </w:t>
            </w:r>
            <w:r>
              <w:rPr>
                <w:b/>
                <w:sz w:val="20"/>
              </w:rPr>
              <w:t xml:space="preserve">átmeneti fémek </w:t>
            </w:r>
            <w:r>
              <w:rPr>
                <w:sz w:val="20"/>
              </w:rPr>
              <w:t xml:space="preserve">általános jellemzése, kémiai tulajdonságai, elõfordulása, elõállítása és felhasználása. Elektronszerkezetük, mágneses tulajdonságaik jellegzetességei. A fontosabb átmeneti fémek (vanádium, króm, mangán, vas, kobalt, nikkel, réz, molibdén, platina) és vegyületeik jellemzése, élettani szerepe valamint </w:t>
            </w:r>
            <w:r>
              <w:rPr>
                <w:i/>
                <w:sz w:val="20"/>
              </w:rPr>
              <w:t>gyógyászati felhasználása</w:t>
            </w:r>
            <w:r>
              <w:rPr>
                <w:sz w:val="20"/>
              </w:rPr>
              <w:t>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</w:tabs>
              <w:ind w:right="419" w:firstLine="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hét: A </w:t>
            </w:r>
            <w:r>
              <w:rPr>
                <w:b/>
                <w:sz w:val="20"/>
              </w:rPr>
              <w:t xml:space="preserve">cinkcsoport </w:t>
            </w:r>
            <w:r>
              <w:rPr>
                <w:sz w:val="20"/>
              </w:rPr>
              <w:t xml:space="preserve">elemeinek (cink, kadmium, higany) és vegyületeinek általános jellemzése, kémiai tulajdonságai, elõfordulása, elõállítása és felhasználása. </w:t>
            </w:r>
            <w:r>
              <w:rPr>
                <w:i/>
                <w:sz w:val="20"/>
              </w:rPr>
              <w:t>A higany és a higanyvegyületek élettani hatása és gyógyászati alkalmazása a szervetlen kémiai tulajdonságok tükrében: az amalgámtöméstõl a féreghajtókon keresztül a Minamata betegségig. A mérgezõ hatás változása a természetes folyamatok során: a bioamplifikáció bemutatása a higanyvegyületek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példáján.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411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koordinációs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vegyületek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kémiája.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komplexek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felépítése,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komplexképzõdés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ismérvei,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komplexizomériák, a komplexek mágneses és optikai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tulajdonságai.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411"/>
              </w:tabs>
              <w:ind w:left="410" w:hanging="303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</w:t>
            </w:r>
            <w:r>
              <w:rPr>
                <w:b/>
                <w:sz w:val="20"/>
              </w:rPr>
              <w:t>A komplex vegyületek kötéselmélete</w:t>
            </w:r>
            <w:r>
              <w:rPr>
                <w:sz w:val="20"/>
              </w:rPr>
              <w:t>, dinamikája és kinetikája. Ligandumszubsztitúciós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reakciók</w:t>
            </w:r>
          </w:p>
          <w:p w:rsidR="00B54896" w:rsidRDefault="00BF455C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ind w:right="42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hét: </w:t>
            </w:r>
            <w:r>
              <w:rPr>
                <w:b/>
                <w:sz w:val="20"/>
              </w:rPr>
              <w:t>A komplex vegyületek jelentősége</w:t>
            </w:r>
            <w:r>
              <w:rPr>
                <w:sz w:val="20"/>
              </w:rPr>
              <w:t>. A létfontosságú fémek és fémkomplexek szerepe az enzimreakciókban, a kis molekulák megkötésében és az ingerátviteli folyamatokban. A toxikus fémek hatásának molekuláris mechanizmusa. A fémkomplexek és a komplexképzõdés jelentõsége a mérgezések terápiájában. komplexek és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B54896" w:rsidRDefault="00BF455C">
            <w:pPr>
              <w:pStyle w:val="TableParagraph"/>
              <w:spacing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szupramolekuláris kémia alapjai.</w:t>
            </w:r>
          </w:p>
        </w:tc>
      </w:tr>
      <w:tr w:rsidR="00B54896">
        <w:trPr>
          <w:trHeight w:val="1379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Gyakorlati órák tematikája: -</w:t>
            </w:r>
          </w:p>
        </w:tc>
      </w:tr>
      <w:tr w:rsidR="00B54896">
        <w:trPr>
          <w:trHeight w:val="690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Konzultációk rendje:</w:t>
            </w:r>
          </w:p>
        </w:tc>
      </w:tr>
      <w:tr w:rsidR="00B54896">
        <w:trPr>
          <w:trHeight w:val="230"/>
        </w:trPr>
        <w:tc>
          <w:tcPr>
            <w:tcW w:w="10082" w:type="dxa"/>
          </w:tcPr>
          <w:p w:rsidR="00B54896" w:rsidRDefault="00BF455C">
            <w:pPr>
              <w:pStyle w:val="TableParagraph"/>
              <w:spacing w:line="210" w:lineRule="exact"/>
              <w:ind w:left="0" w:right="38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Kurzus követelményrendszere</w:t>
            </w:r>
          </w:p>
        </w:tc>
      </w:tr>
    </w:tbl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spacing w:before="1"/>
        <w:rPr>
          <w:sz w:val="21"/>
        </w:rPr>
      </w:pPr>
    </w:p>
    <w:p w:rsidR="00B54896" w:rsidRDefault="00BF455C">
      <w:pPr>
        <w:pStyle w:val="Szvegtrzs"/>
        <w:spacing w:before="76"/>
        <w:ind w:right="466"/>
        <w:jc w:val="right"/>
      </w:pPr>
      <w:r>
        <w:rPr>
          <w:w w:val="99"/>
        </w:rPr>
        <w:t>2</w:t>
      </w:r>
    </w:p>
    <w:p w:rsidR="00B54896" w:rsidRDefault="00B54896">
      <w:pPr>
        <w:jc w:val="right"/>
        <w:sectPr w:rsidR="00B54896">
          <w:headerReference w:type="default" r:id="rId9"/>
          <w:pgSz w:w="11900" w:h="16840"/>
          <w:pgMar w:top="980" w:right="660" w:bottom="280" w:left="920" w:header="733" w:footer="0" w:gutter="0"/>
          <w:pgNumType w:start="2"/>
          <w:cols w:space="708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2"/>
      </w:tblGrid>
      <w:tr w:rsidR="00B54896">
        <w:trPr>
          <w:trHeight w:val="1379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A kurzus felvételének előzetes követelményei: </w:t>
            </w:r>
            <w:r w:rsidRPr="003A2E8C">
              <w:rPr>
                <w:sz w:val="20"/>
              </w:rPr>
              <w:t>Általános és szervetlen kémia I.</w:t>
            </w:r>
            <w:r w:rsidR="003A2E8C">
              <w:rPr>
                <w:sz w:val="20"/>
              </w:rPr>
              <w:t xml:space="preserve"> (GYASKASKE1M)</w:t>
            </w:r>
          </w:p>
        </w:tc>
      </w:tr>
      <w:tr w:rsidR="00B54896">
        <w:trPr>
          <w:trHeight w:val="1379"/>
        </w:trPr>
        <w:tc>
          <w:tcPr>
            <w:tcW w:w="10082" w:type="dxa"/>
          </w:tcPr>
          <w:p w:rsidR="00B54896" w:rsidRDefault="00BF455C">
            <w:pPr>
              <w:pStyle w:val="TableParagraph"/>
              <w:ind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>A foglalkozásokon való részvétel követelményei, az elfogadható hiányzások mértéke, a távolmaradás igazolásának módja, pótlás lehetősége: -</w:t>
            </w:r>
          </w:p>
        </w:tc>
      </w:tr>
      <w:tr w:rsidR="00B54896">
        <w:trPr>
          <w:trHeight w:val="690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Évközi ellenőrzés: -</w:t>
            </w:r>
          </w:p>
        </w:tc>
      </w:tr>
      <w:tr w:rsidR="00B54896">
        <w:trPr>
          <w:trHeight w:val="918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félév végi aláírás követelményei:</w:t>
            </w:r>
          </w:p>
        </w:tc>
      </w:tr>
      <w:tr w:rsidR="00B54896">
        <w:trPr>
          <w:trHeight w:val="690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hallgató félév során egyéni munkával megoldandó feladatai:</w:t>
            </w:r>
          </w:p>
        </w:tc>
      </w:tr>
      <w:tr w:rsidR="00B54896">
        <w:trPr>
          <w:trHeight w:val="688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félév végi számonkérés módja: </w:t>
            </w:r>
            <w:r w:rsidRPr="003A2E8C">
              <w:rPr>
                <w:sz w:val="20"/>
              </w:rPr>
              <w:t>szigorlat</w:t>
            </w:r>
          </w:p>
        </w:tc>
      </w:tr>
      <w:tr w:rsidR="00B54896">
        <w:trPr>
          <w:trHeight w:val="690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félév végi számonkérés formája</w:t>
            </w:r>
            <w:r>
              <w:rPr>
                <w:b/>
                <w:i/>
                <w:sz w:val="20"/>
              </w:rPr>
              <w:t xml:space="preserve">: </w:t>
            </w:r>
            <w:r w:rsidRPr="003A2E8C">
              <w:rPr>
                <w:sz w:val="20"/>
              </w:rPr>
              <w:t>Szóbeli vizsga szigorlati bizottság előtt</w:t>
            </w:r>
          </w:p>
        </w:tc>
      </w:tr>
      <w:tr w:rsidR="00B54896">
        <w:trPr>
          <w:trHeight w:val="690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tárgy előírt külső szakmai gyakorlatai: -</w:t>
            </w:r>
          </w:p>
        </w:tc>
      </w:tr>
      <w:tr w:rsidR="00B54896">
        <w:trPr>
          <w:trHeight w:val="1610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tananyag elsajátításához felhasználható jegyzetek, tankönyvek, segédletek és szakirodalom listája:</w:t>
            </w:r>
          </w:p>
          <w:p w:rsidR="00B54896" w:rsidRDefault="00B54896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B54896" w:rsidRPr="003A2E8C" w:rsidRDefault="00BF455C">
            <w:pPr>
              <w:pStyle w:val="TableParagraph"/>
              <w:rPr>
                <w:sz w:val="20"/>
              </w:rPr>
            </w:pPr>
            <w:r w:rsidRPr="003A2E8C">
              <w:rPr>
                <w:sz w:val="20"/>
              </w:rPr>
              <w:t>N. N. Greenwood, A. Earnshaw: Az elemek kémiája, Nemzeti Tankönyvkiadó Rt., 2004.</w:t>
            </w:r>
          </w:p>
          <w:p w:rsidR="00B54896" w:rsidRPr="003A2E8C" w:rsidRDefault="00B54896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B54896" w:rsidRDefault="00BF455C">
            <w:pPr>
              <w:pStyle w:val="TableParagraph"/>
              <w:rPr>
                <w:b/>
                <w:sz w:val="20"/>
              </w:rPr>
            </w:pPr>
            <w:r w:rsidRPr="003A2E8C">
              <w:rPr>
                <w:sz w:val="20"/>
              </w:rPr>
              <w:t>Az előadások anyaga elektronikus formában a hallgatók számára elérhető.</w:t>
            </w:r>
          </w:p>
        </w:tc>
      </w:tr>
      <w:tr w:rsidR="00B54896">
        <w:trPr>
          <w:trHeight w:val="688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 kurzus tárgyi szükségletei:</w:t>
            </w:r>
          </w:p>
        </w:tc>
      </w:tr>
      <w:tr w:rsidR="00B54896">
        <w:trPr>
          <w:trHeight w:val="690"/>
        </w:trPr>
        <w:tc>
          <w:tcPr>
            <w:tcW w:w="10082" w:type="dxa"/>
          </w:tcPr>
          <w:p w:rsidR="00B54896" w:rsidRDefault="00BF455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Tantárgyi vonatkozású tudományos eredmények, kutatások:</w:t>
            </w:r>
          </w:p>
        </w:tc>
      </w:tr>
      <w:tr w:rsidR="00B54896">
        <w:trPr>
          <w:trHeight w:val="690"/>
        </w:trPr>
        <w:tc>
          <w:tcPr>
            <w:tcW w:w="10082" w:type="dxa"/>
          </w:tcPr>
          <w:p w:rsidR="00B54896" w:rsidRDefault="00BF455C">
            <w:pPr>
              <w:pStyle w:val="TableParagraph"/>
              <w:ind w:right="718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tantárgyleírást készítette: </w:t>
            </w:r>
            <w:r w:rsidRPr="003A2E8C">
              <w:rPr>
                <w:sz w:val="20"/>
              </w:rPr>
              <w:t>Ungvárainé dr. Nagy Zsuzsanna</w:t>
            </w:r>
          </w:p>
        </w:tc>
      </w:tr>
    </w:tbl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rPr>
          <w:sz w:val="20"/>
        </w:rPr>
      </w:pPr>
    </w:p>
    <w:p w:rsidR="00B54896" w:rsidRDefault="00B54896">
      <w:pPr>
        <w:pStyle w:val="Szvegtrzs"/>
        <w:spacing w:before="6"/>
        <w:rPr>
          <w:sz w:val="21"/>
        </w:rPr>
      </w:pPr>
    </w:p>
    <w:p w:rsidR="00B54896" w:rsidRDefault="00BF455C">
      <w:pPr>
        <w:pStyle w:val="Szvegtrzs"/>
        <w:ind w:right="466"/>
        <w:jc w:val="right"/>
      </w:pPr>
      <w:r>
        <w:rPr>
          <w:w w:val="99"/>
        </w:rPr>
        <w:t>3</w:t>
      </w:r>
    </w:p>
    <w:sectPr w:rsidR="00B54896">
      <w:pgSz w:w="11900" w:h="16840"/>
      <w:pgMar w:top="980" w:right="660" w:bottom="280" w:left="920" w:header="73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186" w:rsidRDefault="00904186">
      <w:r>
        <w:separator/>
      </w:r>
    </w:p>
  </w:endnote>
  <w:endnote w:type="continuationSeparator" w:id="0">
    <w:p w:rsidR="00904186" w:rsidRDefault="0090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186" w:rsidRDefault="00904186">
      <w:r>
        <w:separator/>
      </w:r>
    </w:p>
  </w:footnote>
  <w:footnote w:type="continuationSeparator" w:id="0">
    <w:p w:rsidR="00904186" w:rsidRDefault="00904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896" w:rsidRDefault="00904186">
    <w:pPr>
      <w:pStyle w:val="Szvegtrzs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pt;margin-top:35.65pt;width:10pt;height:14.65pt;z-index:-251658752;mso-position-horizontal-relative:page;mso-position-vertical-relative:page" filled="f" stroked="f">
          <v:textbox inset="0,0,0,0">
            <w:txbxContent>
              <w:p w:rsidR="00B54896" w:rsidRDefault="00BF455C">
                <w:pPr>
                  <w:pStyle w:val="Szvegtrzs"/>
                  <w:spacing w:line="272" w:lineRule="exact"/>
                  <w:ind w:left="4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90084A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272A7"/>
    <w:multiLevelType w:val="hybridMultilevel"/>
    <w:tmpl w:val="A468D3DC"/>
    <w:lvl w:ilvl="0" w:tplc="5CCEB368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</w:rPr>
    </w:lvl>
    <w:lvl w:ilvl="1" w:tplc="108E778E">
      <w:numFmt w:val="bullet"/>
      <w:lvlText w:val="•"/>
      <w:lvlJc w:val="left"/>
      <w:pPr>
        <w:ind w:left="573" w:hanging="118"/>
      </w:pPr>
      <w:rPr>
        <w:rFonts w:hint="default"/>
      </w:rPr>
    </w:lvl>
    <w:lvl w:ilvl="2" w:tplc="E208D562">
      <w:numFmt w:val="bullet"/>
      <w:lvlText w:val="•"/>
      <w:lvlJc w:val="left"/>
      <w:pPr>
        <w:ind w:left="1046" w:hanging="118"/>
      </w:pPr>
      <w:rPr>
        <w:rFonts w:hint="default"/>
      </w:rPr>
    </w:lvl>
    <w:lvl w:ilvl="3" w:tplc="B372A0F0">
      <w:numFmt w:val="bullet"/>
      <w:lvlText w:val="•"/>
      <w:lvlJc w:val="left"/>
      <w:pPr>
        <w:ind w:left="1519" w:hanging="118"/>
      </w:pPr>
      <w:rPr>
        <w:rFonts w:hint="default"/>
      </w:rPr>
    </w:lvl>
    <w:lvl w:ilvl="4" w:tplc="97B0D2B4">
      <w:numFmt w:val="bullet"/>
      <w:lvlText w:val="•"/>
      <w:lvlJc w:val="left"/>
      <w:pPr>
        <w:ind w:left="1992" w:hanging="118"/>
      </w:pPr>
      <w:rPr>
        <w:rFonts w:hint="default"/>
      </w:rPr>
    </w:lvl>
    <w:lvl w:ilvl="5" w:tplc="00B20B58">
      <w:numFmt w:val="bullet"/>
      <w:lvlText w:val="•"/>
      <w:lvlJc w:val="left"/>
      <w:pPr>
        <w:ind w:left="2465" w:hanging="118"/>
      </w:pPr>
      <w:rPr>
        <w:rFonts w:hint="default"/>
      </w:rPr>
    </w:lvl>
    <w:lvl w:ilvl="6" w:tplc="81D89986">
      <w:numFmt w:val="bullet"/>
      <w:lvlText w:val="•"/>
      <w:lvlJc w:val="left"/>
      <w:pPr>
        <w:ind w:left="2938" w:hanging="118"/>
      </w:pPr>
      <w:rPr>
        <w:rFonts w:hint="default"/>
      </w:rPr>
    </w:lvl>
    <w:lvl w:ilvl="7" w:tplc="4D7043E4">
      <w:numFmt w:val="bullet"/>
      <w:lvlText w:val="•"/>
      <w:lvlJc w:val="left"/>
      <w:pPr>
        <w:ind w:left="3411" w:hanging="118"/>
      </w:pPr>
      <w:rPr>
        <w:rFonts w:hint="default"/>
      </w:rPr>
    </w:lvl>
    <w:lvl w:ilvl="8" w:tplc="146CB1E8">
      <w:numFmt w:val="bullet"/>
      <w:lvlText w:val="•"/>
      <w:lvlJc w:val="left"/>
      <w:pPr>
        <w:ind w:left="3884" w:hanging="118"/>
      </w:pPr>
      <w:rPr>
        <w:rFonts w:hint="default"/>
      </w:rPr>
    </w:lvl>
  </w:abstractNum>
  <w:abstractNum w:abstractNumId="1" w15:restartNumberingAfterBreak="0">
    <w:nsid w:val="7CC97DB6"/>
    <w:multiLevelType w:val="hybridMultilevel"/>
    <w:tmpl w:val="16400D96"/>
    <w:lvl w:ilvl="0" w:tplc="80608176">
      <w:start w:val="1"/>
      <w:numFmt w:val="decimal"/>
      <w:lvlText w:val="%1."/>
      <w:lvlJc w:val="left"/>
      <w:pPr>
        <w:ind w:left="107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90C263C">
      <w:numFmt w:val="bullet"/>
      <w:lvlText w:val="•"/>
      <w:lvlJc w:val="left"/>
      <w:pPr>
        <w:ind w:left="1097" w:hanging="202"/>
      </w:pPr>
      <w:rPr>
        <w:rFonts w:hint="default"/>
      </w:rPr>
    </w:lvl>
    <w:lvl w:ilvl="2" w:tplc="4BAC7C7E">
      <w:numFmt w:val="bullet"/>
      <w:lvlText w:val="•"/>
      <w:lvlJc w:val="left"/>
      <w:pPr>
        <w:ind w:left="2094" w:hanging="202"/>
      </w:pPr>
      <w:rPr>
        <w:rFonts w:hint="default"/>
      </w:rPr>
    </w:lvl>
    <w:lvl w:ilvl="3" w:tplc="6D0E2D0A">
      <w:numFmt w:val="bullet"/>
      <w:lvlText w:val="•"/>
      <w:lvlJc w:val="left"/>
      <w:pPr>
        <w:ind w:left="3091" w:hanging="202"/>
      </w:pPr>
      <w:rPr>
        <w:rFonts w:hint="default"/>
      </w:rPr>
    </w:lvl>
    <w:lvl w:ilvl="4" w:tplc="4B6821FE">
      <w:numFmt w:val="bullet"/>
      <w:lvlText w:val="•"/>
      <w:lvlJc w:val="left"/>
      <w:pPr>
        <w:ind w:left="4088" w:hanging="202"/>
      </w:pPr>
      <w:rPr>
        <w:rFonts w:hint="default"/>
      </w:rPr>
    </w:lvl>
    <w:lvl w:ilvl="5" w:tplc="878682B4">
      <w:numFmt w:val="bullet"/>
      <w:lvlText w:val="•"/>
      <w:lvlJc w:val="left"/>
      <w:pPr>
        <w:ind w:left="5086" w:hanging="202"/>
      </w:pPr>
      <w:rPr>
        <w:rFonts w:hint="default"/>
      </w:rPr>
    </w:lvl>
    <w:lvl w:ilvl="6" w:tplc="D298BC56">
      <w:numFmt w:val="bullet"/>
      <w:lvlText w:val="•"/>
      <w:lvlJc w:val="left"/>
      <w:pPr>
        <w:ind w:left="6083" w:hanging="202"/>
      </w:pPr>
      <w:rPr>
        <w:rFonts w:hint="default"/>
      </w:rPr>
    </w:lvl>
    <w:lvl w:ilvl="7" w:tplc="DB84FFDC">
      <w:numFmt w:val="bullet"/>
      <w:lvlText w:val="•"/>
      <w:lvlJc w:val="left"/>
      <w:pPr>
        <w:ind w:left="7080" w:hanging="202"/>
      </w:pPr>
      <w:rPr>
        <w:rFonts w:hint="default"/>
      </w:rPr>
    </w:lvl>
    <w:lvl w:ilvl="8" w:tplc="5748B578">
      <w:numFmt w:val="bullet"/>
      <w:lvlText w:val="•"/>
      <w:lvlJc w:val="left"/>
      <w:pPr>
        <w:ind w:left="8077" w:hanging="20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54896"/>
    <w:rsid w:val="003A2E8C"/>
    <w:rsid w:val="0090084A"/>
    <w:rsid w:val="00904186"/>
    <w:rsid w:val="00A5647C"/>
    <w:rsid w:val="00B54896"/>
    <w:rsid w:val="00BF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74D378B-2CD4-48E7-BD35-CEE2F8AD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lai.istvan@chem.elte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ngvarai@chem.elt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1020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Általános és szervetlen kémia II._magyar_ 2018-19</vt:lpstr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Általános és szervetlen kémia II._magyar_ 2018-19</dc:title>
  <dc:creator>Nonlin</dc:creator>
  <cp:lastModifiedBy>Ambrus Péter</cp:lastModifiedBy>
  <cp:revision>5</cp:revision>
  <dcterms:created xsi:type="dcterms:W3CDTF">2018-04-26T11:57:00Z</dcterms:created>
  <dcterms:modified xsi:type="dcterms:W3CDTF">2018-04-26T12:58:00Z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2018-04-23T00:00:00Z</vt:filetime>
  </property>
  <property fmtid="{D5CDD505-2E9C-101B-9397-08002B2CF9AE}" pid="3" name="Creator">
    <vt:lpwstr>PDFCreator 2.5.3.6324</vt:lpwstr>
  </property>
  <property fmtid="{D5CDD505-2E9C-101B-9397-08002B2CF9AE}" pid="4" name="LastSaved">
    <vt:filetime>2018-04-26T00:00:00Z</vt:filetime>
  </property>
</Properties>
</file>