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CCF6" w14:textId="77777777" w:rsidR="000047AA" w:rsidRPr="00181049" w:rsidRDefault="000C01F0" w:rsidP="009B2E5B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ÖSSZEFOGLALÓ TÁJÉKOZTAT</w:t>
      </w:r>
      <w:r w:rsidR="00F37A16"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</w:t>
      </w:r>
    </w:p>
    <w:p w14:paraId="2DB4A08E" w14:textId="77777777" w:rsidR="00753ACE" w:rsidRPr="00181049" w:rsidRDefault="00753ACE" w:rsidP="009B2E5B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580415B" w14:textId="7C5BD2E1" w:rsidR="00F37A16" w:rsidRPr="00181049" w:rsidRDefault="00284161" w:rsidP="009B2E5B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</w:t>
      </w:r>
      <w:r w:rsidR="00F37A16"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gyetem szervezeti egységei vezetőinek és a gazdasági ügyekért felelős vezetőinek</w:t>
      </w:r>
      <w:r w:rsidR="000C01F0"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202</w:t>
      </w:r>
      <w:r w:rsidR="00032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január 1</w:t>
      </w:r>
      <w:r w:rsidR="00FE42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032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napjától érvényes csoportos adóalanyisággal </w:t>
      </w:r>
      <w:r w:rsidR="00F37A16" w:rsidRPr="001810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kapcsolatos pénzügyi feladatokról</w:t>
      </w:r>
    </w:p>
    <w:p w14:paraId="2457FB67" w14:textId="77777777" w:rsidR="00B3761A" w:rsidRDefault="00B3761A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5E6DB0B" w14:textId="77777777" w:rsidR="004D1D63" w:rsidRPr="00181049" w:rsidRDefault="004D1D63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E5472DC" w14:textId="600B484D" w:rsidR="000C01F0" w:rsidRDefault="00DD7D30" w:rsidP="00402181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január 1. napjától a </w:t>
      </w:r>
      <w:r w:rsidR="004D1D63"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Semmelweis Egyetem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4 </w:t>
      </w:r>
      <w:r w:rsidR="004D1D63"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kapcsolt vállalkozás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D1D63"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40218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7F7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ltalános </w:t>
      </w:r>
      <w:r w:rsidR="00402181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7F7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orgalmi </w:t>
      </w:r>
      <w:r w:rsidR="004021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F7A8E">
        <w:rPr>
          <w:rFonts w:ascii="Times New Roman" w:eastAsia="Times New Roman" w:hAnsi="Times New Roman" w:cs="Times New Roman"/>
          <w:sz w:val="24"/>
          <w:szCs w:val="24"/>
          <w:lang w:eastAsia="hu-HU"/>
        </w:rPr>
        <w:t>dóról szóló</w:t>
      </w:r>
      <w:r w:rsidR="00402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2181" w:rsidRPr="00402181">
        <w:rPr>
          <w:rFonts w:ascii="Times New Roman" w:eastAsia="Times New Roman" w:hAnsi="Times New Roman" w:cs="Times New Roman"/>
          <w:sz w:val="24"/>
          <w:szCs w:val="24"/>
          <w:lang w:eastAsia="hu-HU"/>
        </w:rPr>
        <w:t>2007. évi CXXVII. törvény</w:t>
      </w:r>
      <w:r w:rsidR="004D1D63"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</w:t>
      </w:r>
      <w:r w:rsidR="00C8228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D1D63"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8/A.§ és a 8/B.§ -ok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áfa vonatkozásában csoportos adóalanyiságot hozott létre.</w:t>
      </w:r>
    </w:p>
    <w:p w14:paraId="06DF32AC" w14:textId="77777777" w:rsidR="00FE4242" w:rsidRDefault="00FE4242" w:rsidP="00402181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BD9F5C" w14:textId="5D78E11A" w:rsidR="001526F4" w:rsidRDefault="001526F4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52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csoporton belül az egyes adóalanyok önálló áfa alanyisága megszűnik, melynek eredményeképpen a csoport tagjai között </w:t>
      </w:r>
      <w:r w:rsidR="000B0DAF" w:rsidRPr="001526F4">
        <w:rPr>
          <w:rFonts w:ascii="Times New Roman" w:eastAsia="Times New Roman" w:hAnsi="Times New Roman" w:cs="Times New Roman"/>
          <w:sz w:val="24"/>
          <w:szCs w:val="24"/>
          <w:lang w:eastAsia="hu-HU"/>
        </w:rPr>
        <w:t>áfa szempontból</w:t>
      </w:r>
      <w:r w:rsidR="000B0DAF" w:rsidRPr="00152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2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beszélhetünk termékértékesítésekről, szolgáltatásnyújtásokról, hiszen ezek nem minősülnek gazdasági tevékenységnek a csoport megalakulásától kezdve. </w:t>
      </w:r>
      <w:r w:rsidR="00B0308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52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csoporton belüli értékesítésekhez, szolgáltatásokhoz se fizetendő, se levonható áfa nem társulhat.  </w:t>
      </w:r>
    </w:p>
    <w:p w14:paraId="66EB236F" w14:textId="77777777" w:rsidR="00757392" w:rsidRPr="00350499" w:rsidRDefault="00757392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FA9764" w14:textId="189C1C85" w:rsidR="00D56AE9" w:rsidRDefault="000E67C7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 csoport létrejöttének napja 2025. január 1., mely naptól a csoporttagok adószáma az alábbiak szerint módosul.</w:t>
      </w:r>
    </w:p>
    <w:p w14:paraId="11076054" w14:textId="77777777" w:rsidR="00EB0198" w:rsidRDefault="00EB0198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37EE0B4" w14:textId="6A56D88D" w:rsidR="00EB0198" w:rsidRPr="00350499" w:rsidRDefault="00EB0198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csoport képviselője: Semmelweis Egyetem</w:t>
      </w:r>
    </w:p>
    <w:p w14:paraId="3C0643C9" w14:textId="77777777" w:rsidR="00094369" w:rsidRDefault="0009436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B1E49" w14:textId="77777777" w:rsidR="00094369" w:rsidRPr="00350499" w:rsidRDefault="00094369" w:rsidP="00094369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 azonosító száma: 17784234-5-44</w:t>
      </w:r>
    </w:p>
    <w:p w14:paraId="2D347973" w14:textId="1E05B6CE" w:rsidR="00094369" w:rsidRDefault="00094369" w:rsidP="00094369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 közösségi adószáma: HU17784234</w:t>
      </w:r>
    </w:p>
    <w:p w14:paraId="3FBE67DB" w14:textId="77777777" w:rsidR="00094369" w:rsidRPr="00350499" w:rsidRDefault="00094369" w:rsidP="00094369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444136B" w14:textId="5EEF0F20" w:rsidR="001F4F89" w:rsidRDefault="00D56AE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 tagja</w:t>
      </w:r>
      <w:r w:rsidR="001F4F89">
        <w:rPr>
          <w:rFonts w:ascii="Times New Roman" w:eastAsia="Times New Roman" w:hAnsi="Times New Roman" w:cs="Times New Roman"/>
          <w:sz w:val="24"/>
          <w:szCs w:val="24"/>
          <w:lang w:eastAsia="hu-HU"/>
        </w:rPr>
        <w:t>i:</w:t>
      </w:r>
    </w:p>
    <w:p w14:paraId="04845C99" w14:textId="77777777" w:rsidR="00870E55" w:rsidRDefault="00870E55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3216"/>
        <w:gridCol w:w="3300"/>
        <w:gridCol w:w="2546"/>
      </w:tblGrid>
      <w:tr w:rsidR="00DD7D30" w:rsidRPr="004311DB" w14:paraId="216BE8BD" w14:textId="77777777" w:rsidTr="00DD7D30">
        <w:trPr>
          <w:trHeight w:val="340"/>
          <w:jc w:val="center"/>
        </w:trPr>
        <w:tc>
          <w:tcPr>
            <w:tcW w:w="1774" w:type="pct"/>
            <w:shd w:val="clear" w:color="auto" w:fill="9CC2E5" w:themeFill="accent1" w:themeFillTint="99"/>
            <w:vAlign w:val="center"/>
          </w:tcPr>
          <w:p w14:paraId="7DB07AF7" w14:textId="77777777" w:rsidR="00DD7D30" w:rsidRPr="004311DB" w:rsidRDefault="00DD7D30" w:rsidP="00157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Cégnév</w:t>
            </w:r>
          </w:p>
        </w:tc>
        <w:tc>
          <w:tcPr>
            <w:tcW w:w="1821" w:type="pct"/>
            <w:shd w:val="clear" w:color="auto" w:fill="9CC2E5" w:themeFill="accent1" w:themeFillTint="99"/>
            <w:vAlign w:val="center"/>
          </w:tcPr>
          <w:p w14:paraId="766A6178" w14:textId="77777777" w:rsidR="00DD7D30" w:rsidRPr="004311DB" w:rsidRDefault="00DD7D30" w:rsidP="00157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</w:t>
            </w:r>
          </w:p>
        </w:tc>
        <w:tc>
          <w:tcPr>
            <w:tcW w:w="1405" w:type="pct"/>
            <w:shd w:val="clear" w:color="auto" w:fill="9CC2E5" w:themeFill="accent1" w:themeFillTint="99"/>
            <w:vAlign w:val="center"/>
          </w:tcPr>
          <w:p w14:paraId="6F730BA2" w14:textId="77777777" w:rsidR="00DD7D30" w:rsidRPr="004311DB" w:rsidRDefault="00DD7D30" w:rsidP="00157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</w:t>
            </w:r>
          </w:p>
        </w:tc>
      </w:tr>
      <w:tr w:rsidR="00DD7D30" w:rsidRPr="004311DB" w14:paraId="5082D194" w14:textId="77777777" w:rsidTr="00DD7D30">
        <w:trPr>
          <w:trHeight w:val="340"/>
          <w:jc w:val="center"/>
        </w:trPr>
        <w:tc>
          <w:tcPr>
            <w:tcW w:w="1774" w:type="pct"/>
            <w:vAlign w:val="center"/>
          </w:tcPr>
          <w:p w14:paraId="514ED5E1" w14:textId="41E70728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Semmelweis Egyetem</w:t>
            </w:r>
          </w:p>
        </w:tc>
        <w:tc>
          <w:tcPr>
            <w:tcW w:w="1821" w:type="pct"/>
            <w:vAlign w:val="center"/>
          </w:tcPr>
          <w:p w14:paraId="586FF9B2" w14:textId="773986E1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1085 Budapest, Üllői út 26.</w:t>
            </w:r>
          </w:p>
        </w:tc>
        <w:tc>
          <w:tcPr>
            <w:tcW w:w="1405" w:type="pct"/>
            <w:vAlign w:val="center"/>
          </w:tcPr>
          <w:p w14:paraId="051DA312" w14:textId="77777777" w:rsidR="00DD7D30" w:rsidRPr="005118F1" w:rsidRDefault="00DD7D30" w:rsidP="0051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1">
              <w:rPr>
                <w:rFonts w:ascii="Times New Roman" w:hAnsi="Times New Roman" w:cs="Times New Roman"/>
                <w:sz w:val="24"/>
                <w:szCs w:val="24"/>
              </w:rPr>
              <w:t>19308674-4-44</w:t>
            </w:r>
          </w:p>
          <w:p w14:paraId="385E92B1" w14:textId="77777777" w:rsidR="00DD7D30" w:rsidRPr="004311DB" w:rsidRDefault="00DD7D30" w:rsidP="009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30" w:rsidRPr="004311DB" w14:paraId="0DD6A416" w14:textId="77777777" w:rsidTr="00DD7D30">
        <w:trPr>
          <w:trHeight w:val="340"/>
          <w:jc w:val="center"/>
        </w:trPr>
        <w:tc>
          <w:tcPr>
            <w:tcW w:w="1774" w:type="pct"/>
            <w:vAlign w:val="center"/>
          </w:tcPr>
          <w:p w14:paraId="43CC6E6E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Semmelweis Egészségügyi Kft</w:t>
            </w:r>
          </w:p>
        </w:tc>
        <w:tc>
          <w:tcPr>
            <w:tcW w:w="1821" w:type="pct"/>
            <w:vAlign w:val="center"/>
          </w:tcPr>
          <w:p w14:paraId="14B54EA6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1085 Budapest, Üllői út 26.</w:t>
            </w:r>
          </w:p>
        </w:tc>
        <w:tc>
          <w:tcPr>
            <w:tcW w:w="1405" w:type="pct"/>
            <w:vAlign w:val="center"/>
          </w:tcPr>
          <w:p w14:paraId="5E8A21AD" w14:textId="69B68B72" w:rsidR="00DD7D30" w:rsidRPr="004311DB" w:rsidRDefault="00DD7D30" w:rsidP="009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13916974-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DD7D30" w:rsidRPr="004311DB" w14:paraId="1C22EA5C" w14:textId="77777777" w:rsidTr="00DD7D30">
        <w:trPr>
          <w:trHeight w:val="340"/>
          <w:jc w:val="center"/>
        </w:trPr>
        <w:tc>
          <w:tcPr>
            <w:tcW w:w="1774" w:type="pct"/>
            <w:vAlign w:val="center"/>
          </w:tcPr>
          <w:p w14:paraId="7E619C4E" w14:textId="33E7A21D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 xml:space="preserve">Semmelweis Medical Studies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Nonprofit </w:t>
            </w: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Kft</w:t>
            </w:r>
          </w:p>
        </w:tc>
        <w:tc>
          <w:tcPr>
            <w:tcW w:w="1821" w:type="pct"/>
            <w:vAlign w:val="center"/>
          </w:tcPr>
          <w:p w14:paraId="01B66502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1085 Budapest, Üllői út 26.</w:t>
            </w:r>
          </w:p>
        </w:tc>
        <w:tc>
          <w:tcPr>
            <w:tcW w:w="1405" w:type="pct"/>
            <w:vAlign w:val="center"/>
          </w:tcPr>
          <w:p w14:paraId="3A5FD4E0" w14:textId="0E7AB26C" w:rsidR="00DD7D30" w:rsidRPr="004311DB" w:rsidRDefault="00DD7D30" w:rsidP="009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25814965-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DD7D30" w:rsidRPr="004311DB" w14:paraId="521DE2F5" w14:textId="77777777" w:rsidTr="00DD7D30">
        <w:trPr>
          <w:trHeight w:val="340"/>
          <w:jc w:val="center"/>
        </w:trPr>
        <w:tc>
          <w:tcPr>
            <w:tcW w:w="1774" w:type="pct"/>
            <w:vAlign w:val="center"/>
          </w:tcPr>
          <w:p w14:paraId="02857DA1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Semmelweis Egyetem B52 Kft</w:t>
            </w:r>
          </w:p>
        </w:tc>
        <w:tc>
          <w:tcPr>
            <w:tcW w:w="1821" w:type="pct"/>
            <w:vAlign w:val="center"/>
          </w:tcPr>
          <w:p w14:paraId="5631316D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1085 Budapest, Baross utca 52. VI. em.</w:t>
            </w:r>
          </w:p>
        </w:tc>
        <w:tc>
          <w:tcPr>
            <w:tcW w:w="1405" w:type="pct"/>
            <w:vAlign w:val="center"/>
          </w:tcPr>
          <w:p w14:paraId="556D29A6" w14:textId="3B2505A9" w:rsidR="00DD7D30" w:rsidRPr="004311DB" w:rsidRDefault="00DD7D30" w:rsidP="009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25317619-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DD7D30" w:rsidRPr="004311DB" w14:paraId="5B979658" w14:textId="77777777" w:rsidTr="00DD7D30">
        <w:trPr>
          <w:trHeight w:val="340"/>
          <w:jc w:val="center"/>
        </w:trPr>
        <w:tc>
          <w:tcPr>
            <w:tcW w:w="1774" w:type="pct"/>
            <w:vAlign w:val="center"/>
          </w:tcPr>
          <w:p w14:paraId="5F98B854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Semmelweis BC22 Kft.</w:t>
            </w:r>
          </w:p>
        </w:tc>
        <w:tc>
          <w:tcPr>
            <w:tcW w:w="1821" w:type="pct"/>
            <w:vAlign w:val="center"/>
          </w:tcPr>
          <w:p w14:paraId="00E45ADE" w14:textId="77777777" w:rsidR="00DD7D30" w:rsidRPr="004311DB" w:rsidRDefault="00DD7D30" w:rsidP="0090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1085 Budapest, Baross utca 22.</w:t>
            </w:r>
          </w:p>
        </w:tc>
        <w:tc>
          <w:tcPr>
            <w:tcW w:w="1405" w:type="pct"/>
            <w:vAlign w:val="center"/>
          </w:tcPr>
          <w:p w14:paraId="3B51B652" w14:textId="7F682A02" w:rsidR="00DD7D30" w:rsidRPr="004311DB" w:rsidRDefault="00DD7D30" w:rsidP="0090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32015089-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DB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</w:tbl>
    <w:p w14:paraId="5836A5F0" w14:textId="77777777" w:rsidR="00870E55" w:rsidRDefault="00870E55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619B26" w14:textId="0573CDD8" w:rsidR="002D0499" w:rsidRDefault="002D049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figyelmet arra, hogy a csoport tagjainak</w:t>
      </w:r>
      <w:r w:rsidRPr="002D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adószámában a 9. szám 4-re módosul, egyebekben változatlan marad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54A5AD6" w14:textId="77777777" w:rsidR="002D0499" w:rsidRDefault="002D049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24232C" w14:textId="30BEBCE6" w:rsidR="00936F96" w:rsidRPr="00FC44D4" w:rsidRDefault="00B23673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C44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partnerek kiértesítése a fentiekről központilag történik.</w:t>
      </w:r>
    </w:p>
    <w:p w14:paraId="610B0352" w14:textId="77777777" w:rsidR="00B23673" w:rsidRDefault="00B23673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578381" w14:textId="7A0C33CF" w:rsidR="003C79CF" w:rsidRPr="00181049" w:rsidRDefault="003C79CF" w:rsidP="003C79CF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0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csoportos adóalanyisággal kapcsolatos</w:t>
      </w:r>
      <w:r w:rsidRPr="001810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leglényegesebb feladatokat, határidőket az alábbiakban foglalom össze és egyben nyomatékosan felhívom minden érintett munkatárs figyelmét azok maradéktalan betartására.</w:t>
      </w:r>
      <w:r w:rsidR="00427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tájékoztató mellékletét képezi a számlák </w:t>
      </w:r>
      <w:r w:rsidR="00427ED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kiállításával és befogadásával kapcsolatos összefoglaló táblázat, melyben foglaltakat kérem figyelembe venni</w:t>
      </w:r>
      <w:r w:rsidR="002E52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385FD7" w14:textId="77777777" w:rsidR="00FE4242" w:rsidRDefault="00FE4242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F8C628" w14:textId="590EAAAF" w:rsidR="001B22B5" w:rsidRPr="003C79CF" w:rsidRDefault="00C27ABE" w:rsidP="003C79CF">
      <w:pPr>
        <w:pStyle w:val="Listaszerbekezds"/>
        <w:numPr>
          <w:ilvl w:val="0"/>
          <w:numId w:val="8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79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Csoporton kívüli ügyletek</w:t>
      </w:r>
      <w:r w:rsidR="00FE42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számlázása</w:t>
      </w:r>
    </w:p>
    <w:p w14:paraId="47D05F42" w14:textId="77777777" w:rsidR="00F90891" w:rsidRDefault="00F90891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CD348" w14:textId="488EF510" w:rsidR="00B52514" w:rsidRDefault="00B52514" w:rsidP="003C79CF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52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csoporttag a harmadik személyekkel </w:t>
      </w:r>
      <w:r w:rsidR="00FE4242">
        <w:rPr>
          <w:rFonts w:ascii="Times New Roman" w:eastAsia="Times New Roman" w:hAnsi="Times New Roman" w:cs="Times New Roman"/>
          <w:sz w:val="24"/>
          <w:szCs w:val="24"/>
          <w:lang w:eastAsia="hu-HU"/>
        </w:rPr>
        <w:t>(ideértve az Egyetemhez tartozó, de a csoporton kívül maradó Semmelweis Kiadó és Média Kft-vel és a Semmelweis Technológiai Transzfer Központ Zrt-ve</w:t>
      </w:r>
      <w:r w:rsidR="008B0BB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FE4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B52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kapcsolatos, adózással összefüggő egyéb jogviszonyaiban az adózással kapcsolatos iratokon (így különösen a bejövő és kimenő számlákon) </w:t>
      </w: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köteles feltüntetni a csoportazonosító számot</w:t>
      </w:r>
      <w:r w:rsidRPr="00B52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(Európai Közösségen belüli ügylet esetén a közösségi adószámot)</w:t>
      </w: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55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és az egyedi adóazonosító számot, </w:t>
      </w: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továbbá az Áfa. törvény 169. §-ában előírt, a számla kötelező adattartalmát képező adatokat, ha adófizetésre kötelezett, akkor az adó alapját, az alkalmazott adómértéket, az áthárított (fizetendő) adót.</w:t>
      </w:r>
    </w:p>
    <w:p w14:paraId="393975FB" w14:textId="77777777" w:rsidR="00FE4242" w:rsidRDefault="00FE4242" w:rsidP="003C79CF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5CD8916" w14:textId="77777777" w:rsidR="00DD7D30" w:rsidRDefault="00DD7D30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5EB12E" w14:textId="77777777" w:rsidR="00061930" w:rsidRDefault="00061930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1A8C28" w14:textId="41E9CC83" w:rsidR="00424126" w:rsidRPr="003C79CF" w:rsidRDefault="00424126" w:rsidP="00791E5C">
      <w:pPr>
        <w:pStyle w:val="Listaszerbekezds"/>
        <w:numPr>
          <w:ilvl w:val="0"/>
          <w:numId w:val="8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79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Csoporttagok egymás között teljesített ügyletei</w:t>
      </w:r>
      <w:r w:rsidR="00FE42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 számlázása</w:t>
      </w:r>
    </w:p>
    <w:p w14:paraId="49B11AE4" w14:textId="77777777" w:rsidR="002D0499" w:rsidRDefault="002D0499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081DC9" w14:textId="2E4289E6" w:rsidR="00424126" w:rsidRDefault="00EF2E1C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Semmelweis Egyetem (mint csoportképviselő) valamint a csoporttagok az egymás közötti termékértékesítések és szolgáltatásnyújtások bizonylatolásának </w:t>
      </w:r>
      <w:r w:rsidRPr="00EF2E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SZÁMLA</w:t>
      </w:r>
      <w:r w:rsidRPr="00350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kiállítással tesz eleget.</w:t>
      </w:r>
    </w:p>
    <w:p w14:paraId="2B5A96B3" w14:textId="77777777" w:rsidR="00FE4242" w:rsidRDefault="00FE4242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15463D" w14:textId="0D411FD0" w:rsidR="008C22B9" w:rsidRDefault="008C22B9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köztes ügyletekről kiállított számla nem tartalmazhat fizetendő áfát (más oldalról előzetesen felszámított áfát), így azokon a </w:t>
      </w:r>
      <w:r w:rsidRPr="00350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„Csoportos adóalanyiság miatt Áfa törvény hatályán kívüli ügylet (2007. évi CXXVII. Áfa tv. 8.§)” kifejezés,</w:t>
      </w:r>
      <w:r w:rsidRPr="008C2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az </w:t>
      </w: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alkalmazott adó mértékénél </w:t>
      </w:r>
      <w:r w:rsidR="003C79CF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ÁTK</w:t>
      </w: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adókód</w:t>
      </w:r>
      <w:r w:rsidRPr="008C2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feltüntetésre.</w:t>
      </w:r>
    </w:p>
    <w:p w14:paraId="544E2114" w14:textId="77777777" w:rsidR="00FE4242" w:rsidRDefault="00FE4242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E39A2" w14:textId="1CC05045" w:rsidR="0028128A" w:rsidRDefault="00DD7D30" w:rsidP="00B5251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Kiemelten figyelni kell, hogy a csoporttagok közötti 2024. december 31-ig teljesült ügyleteket a teljesítés időpontját követő</w:t>
      </w:r>
      <w:r w:rsidR="00FE4242">
        <w:rPr>
          <w:rFonts w:ascii="Times New Roman" w:eastAsia="Times New Roman" w:hAnsi="Times New Roman" w:cs="Times New Roman"/>
          <w:sz w:val="24"/>
          <w:szCs w:val="24"/>
          <w:lang w:eastAsia="hu-HU"/>
        </w:rPr>
        <w:t>en haladéktalanul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kell számlázni.</w:t>
      </w:r>
      <w:r w:rsidR="003C7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számlázás teljesítéséről a Pénzügyi Igazgatóságot </w:t>
      </w:r>
      <w:r w:rsidR="00791E5C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január 10. napjáig értesíteni. 2025. évi</w:t>
      </w:r>
      <w:r w:rsidR="00FE4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(Áfa tv. szerinti) </w:t>
      </w:r>
      <w:r w:rsidR="00791E5C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</w:t>
      </w:r>
      <w:r w:rsidR="00FE4242">
        <w:rPr>
          <w:rFonts w:ascii="Times New Roman" w:eastAsia="Times New Roman" w:hAnsi="Times New Roman" w:cs="Times New Roman"/>
          <w:sz w:val="24"/>
          <w:szCs w:val="24"/>
          <w:lang w:eastAsia="hu-HU"/>
        </w:rPr>
        <w:t>i időpontú</w:t>
      </w:r>
      <w:r w:rsidR="00791E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számla a csoporttagok részére nem állítható ki addig, amíg 2024. évi teljesítésű számlák kiszámlázása teljeskörűen meg nem történik. Erről a Pénzügyi Igazgatóság tájékoztatást ad.</w:t>
      </w:r>
    </w:p>
    <w:p w14:paraId="425FEA91" w14:textId="77777777" w:rsidR="006858B8" w:rsidRDefault="006858B8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01491" w14:textId="77777777" w:rsidR="00936F96" w:rsidRPr="00181049" w:rsidRDefault="00936F96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B6964A" w14:textId="3DF20A5F" w:rsidR="006858B8" w:rsidRPr="00791E5C" w:rsidRDefault="006858B8" w:rsidP="00791E5C">
      <w:pPr>
        <w:pStyle w:val="Listaszerbekezds"/>
        <w:numPr>
          <w:ilvl w:val="0"/>
          <w:numId w:val="8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Szállítói számlák </w:t>
      </w:r>
      <w:r w:rsidR="00741198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befogadása </w:t>
      </w:r>
    </w:p>
    <w:p w14:paraId="021799E2" w14:textId="63D7CE21" w:rsidR="00011C3D" w:rsidRPr="00791E5C" w:rsidRDefault="00F24CF1" w:rsidP="00936F96">
      <w:pPr>
        <w:pStyle w:val="Listaszerbekezds"/>
        <w:numPr>
          <w:ilvl w:val="1"/>
          <w:numId w:val="4"/>
        </w:numPr>
        <w:shd w:val="clear" w:color="auto" w:fill="FFFFFF"/>
        <w:spacing w:before="120" w:after="120" w:line="300" w:lineRule="exact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csoporttagok esetében </w:t>
      </w:r>
      <w:r w:rsidR="00DD7D30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 évet érintő teljesítések esetében a</w:t>
      </w: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</w:t>
      </w:r>
      <w:r w:rsidR="006858B8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</w:t>
      </w:r>
      <w:r w:rsidR="00F847B2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állítói </w:t>
      </w:r>
      <w:r w:rsidR="004116C9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</w:t>
      </w:r>
      <w:r w:rsidR="006858B8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egrendelése</w:t>
      </w:r>
      <w:r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knél</w:t>
      </w:r>
      <w:r w:rsidR="004116C9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="00B22562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dókód</w:t>
      </w:r>
      <w:r w:rsidR="00DD7D30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(1Z)</w:t>
      </w:r>
      <w:r w:rsidR="00B22562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cserét szükséges végrehajtani.</w:t>
      </w:r>
      <w:r w:rsidR="004116C9" w:rsidRPr="00791E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372AAAE4" w14:textId="287278B0" w:rsidR="00936F96" w:rsidRPr="00936F96" w:rsidRDefault="00FE4242" w:rsidP="00936F96">
      <w:pPr>
        <w:pStyle w:val="Listaszerbekezds"/>
        <w:numPr>
          <w:ilvl w:val="1"/>
          <w:numId w:val="4"/>
        </w:numPr>
        <w:shd w:val="clear" w:color="auto" w:fill="FFFFFF"/>
        <w:spacing w:before="120" w:after="120" w:line="300" w:lineRule="exac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231A7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belföldi adóalany által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csoporttag részére</w:t>
      </w:r>
      <w:r w:rsidR="00617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31A7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január 1. után kiállított számla kizárólag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kkor fogadható el, ha azon a</w:t>
      </w:r>
      <w:r w:rsidR="001231A7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csoportos adószám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</w:t>
      </w:r>
      <w:r w:rsidR="001231A7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4601BA2" w14:textId="57384DD9" w:rsidR="001231A7" w:rsidRDefault="001231A7" w:rsidP="00936F96">
      <w:pPr>
        <w:shd w:val="clear" w:color="auto" w:fill="FFFFFF"/>
        <w:spacing w:before="120" w:after="120" w:line="300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>Ettől eltérően kiállított számlát vissza kell küldeni a pa</w:t>
      </w:r>
      <w:r w:rsidR="00DD7D30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>rtner</w:t>
      </w:r>
      <w:r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tájékoztató levél</w:t>
      </w:r>
      <w:r w:rsidR="00DD7D30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csatolása mellett</w:t>
      </w:r>
      <w:r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D7D30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számla visszaküldése kizárólag a Pénzügyi Igazgatóság hatásköre. A nem csoportos adószámmal rendelkező papír alapú számlát be kell küldeni a</w:t>
      </w:r>
      <w:r w:rsid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</w:t>
      </w:r>
      <w:r w:rsidR="00DD7D30" w:rsidRPr="00936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Igazgatóságra, míg az elektronikus úton </w:t>
      </w:r>
      <w:r w:rsidR="00DD7D30" w:rsidRPr="00617C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érkezett számlát a</w:t>
      </w:r>
      <w:r w:rsidR="00617C06" w:rsidRPr="00617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617C06" w:rsidRPr="00617C0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penzugy.szallito@semmelweis.hu</w:t>
        </w:r>
      </w:hyperlink>
      <w:r w:rsidR="00617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7D30" w:rsidRPr="00617C06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kérek megküldeni.</w:t>
      </w:r>
    </w:p>
    <w:p w14:paraId="4AC8FE73" w14:textId="13D61F80" w:rsidR="00FE4242" w:rsidRPr="00936F96" w:rsidRDefault="00FE4242" w:rsidP="00936F96">
      <w:pPr>
        <w:shd w:val="clear" w:color="auto" w:fill="FFFFFF"/>
        <w:spacing w:before="120" w:after="120" w:line="300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partnerek részére adott tájékoztatás értelmében a partnerek számára ezen felül az adott csoporttag egyedi adószámának feltüntetését is megköveteljük, ennek hiánya ugyanakkor nem fogja maga után vonni a számla visszaküldését.</w:t>
      </w:r>
    </w:p>
    <w:p w14:paraId="26110220" w14:textId="7A8EF7AC" w:rsidR="001231A7" w:rsidRPr="001231A7" w:rsidRDefault="00FE4242" w:rsidP="00936F96">
      <w:pPr>
        <w:pStyle w:val="Listaszerbekezds"/>
        <w:numPr>
          <w:ilvl w:val="1"/>
          <w:numId w:val="4"/>
        </w:numPr>
        <w:shd w:val="clear" w:color="auto" w:fill="FFFFFF"/>
        <w:spacing w:before="120" w:after="120" w:line="300" w:lineRule="exac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1231A7" w:rsidRPr="001231A7">
        <w:rPr>
          <w:rFonts w:ascii="Times New Roman" w:eastAsia="Times New Roman" w:hAnsi="Times New Roman" w:cs="Times New Roman"/>
          <w:sz w:val="24"/>
          <w:szCs w:val="24"/>
          <w:lang w:eastAsia="hu-HU"/>
        </w:rPr>
        <w:t>tmeneti jelleggel a külföldi adóalany által csoportazonosító nélkül kiállított számla befogadható abban az esetben</w:t>
      </w:r>
      <w:r w:rsidR="00D11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231A7" w:rsidRPr="001231A7">
        <w:rPr>
          <w:rFonts w:ascii="Times New Roman" w:eastAsia="Times New Roman" w:hAnsi="Times New Roman" w:cs="Times New Roman"/>
          <w:sz w:val="24"/>
          <w:szCs w:val="24"/>
          <w:lang w:eastAsia="hu-HU"/>
        </w:rPr>
        <w:t>ha nem alapoz meg áfa visszaigénylést. Abban az esetben viszont, ha az áfa az adott termékbeszerzés, szolgáltatásnyújtás esetén visszaigényelhető (pl. kutatás, patika) kizárólag a csoportos adószámmal fogadható be számla.</w:t>
      </w:r>
    </w:p>
    <w:p w14:paraId="690D2C67" w14:textId="77777777" w:rsidR="009B2E5B" w:rsidRPr="00350499" w:rsidRDefault="009B2E5B" w:rsidP="0035049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46B0A9" w14:textId="003F5DD9" w:rsidR="003963A5" w:rsidRPr="00936F96" w:rsidRDefault="00DD7D30" w:rsidP="00936F96">
      <w:pPr>
        <w:shd w:val="clear" w:color="auto" w:fill="FFFFFF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6F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Kiemelten fontos, hogy a</w:t>
      </w:r>
      <w:r w:rsidR="00617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</w:t>
      </w:r>
      <w:r w:rsidRPr="00936F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E42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Áfa tv. szerint </w:t>
      </w:r>
      <w:r w:rsidR="00FE4242" w:rsidRPr="00936F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2024. december 31-ét megelőző </w:t>
      </w:r>
      <w:r w:rsidRPr="00936F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teljesítésű számlák feldolgozása és Pénzügyi Igazgatóságra való beküldése 2025. január 13. napjáig megtörténjen.</w:t>
      </w:r>
    </w:p>
    <w:p w14:paraId="4C6CE336" w14:textId="77777777" w:rsidR="00DD7D30" w:rsidRDefault="00DD7D30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2097EC" w14:textId="77777777" w:rsidR="00427ED8" w:rsidRPr="00181049" w:rsidRDefault="00427ED8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257102" w14:textId="476F791F" w:rsidR="00DD7D30" w:rsidRPr="00936F96" w:rsidRDefault="00DD7D30" w:rsidP="00427ED8">
      <w:pPr>
        <w:pStyle w:val="Listaszerbekezds"/>
        <w:numPr>
          <w:ilvl w:val="0"/>
          <w:numId w:val="8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6F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Kézi számlák, nyugták kiállítása</w:t>
      </w:r>
    </w:p>
    <w:p w14:paraId="28148611" w14:textId="6EFDAD06" w:rsidR="00DD7D30" w:rsidRDefault="00DD7D30" w:rsidP="00B028E4">
      <w:pPr>
        <w:shd w:val="clear" w:color="auto" w:fill="FFFFFF"/>
        <w:spacing w:before="120" w:after="120" w:line="300" w:lineRule="exac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Számviteli Politika keretében elkészített Pénzkezelési Szabályzatban foglaltak </w:t>
      </w:r>
      <w:r w:rsidR="00B028E4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</w:t>
      </w:r>
      <w:r w:rsidR="00B02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január 1. napját követően </w:t>
      </w:r>
      <w:r w:rsidR="00B028E4">
        <w:rPr>
          <w:rFonts w:ascii="Times New Roman" w:eastAsia="Times New Roman" w:hAnsi="Times New Roman" w:cs="Times New Roman"/>
          <w:sz w:val="24"/>
          <w:szCs w:val="24"/>
          <w:lang w:eastAsia="hu-HU"/>
        </w:rPr>
        <w:t>is kézi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</w:t>
      </w:r>
      <w:r w:rsidR="00B028E4">
        <w:rPr>
          <w:rFonts w:ascii="Times New Roman" w:eastAsia="Times New Roman" w:hAnsi="Times New Roman" w:cs="Times New Roman"/>
          <w:sz w:val="24"/>
          <w:szCs w:val="24"/>
          <w:lang w:eastAsia="hu-HU"/>
        </w:rPr>
        <w:t>a kiállítására.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2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kézi számlán és a nyugtán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csoportos adószámot kell feltüntetni és a Pénzügyi Igazgatóságra megküldeni NAV online rendszerben való rögzítés céljából:</w:t>
      </w:r>
    </w:p>
    <w:p w14:paraId="27C1A0B4" w14:textId="77777777" w:rsidR="00617C06" w:rsidRDefault="00DD7D30" w:rsidP="00617C06">
      <w:pPr>
        <w:pStyle w:val="Listaszerbekezds"/>
        <w:numPr>
          <w:ilvl w:val="1"/>
          <w:numId w:val="5"/>
        </w:numPr>
        <w:shd w:val="clear" w:color="auto" w:fill="FFFFFF"/>
        <w:spacing w:before="120" w:after="120" w:line="300" w:lineRule="exact"/>
        <w:ind w:left="1434" w:hanging="357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17C0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 a számla alanyi adómentes vagy áfatartalma 500 ezer forint alatti, akkor legkésőbb a kiállítást követő 3 napon belül</w:t>
      </w:r>
      <w:r w:rsidR="00617C06" w:rsidRPr="00617C0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</w:p>
    <w:p w14:paraId="3EC596C4" w14:textId="5EB38351" w:rsidR="00DD7D30" w:rsidRPr="00617C06" w:rsidRDefault="00DD7D30" w:rsidP="00617C06">
      <w:pPr>
        <w:pStyle w:val="Listaszerbekezds"/>
        <w:numPr>
          <w:ilvl w:val="1"/>
          <w:numId w:val="5"/>
        </w:numPr>
        <w:shd w:val="clear" w:color="auto" w:fill="FFFFFF"/>
        <w:spacing w:before="120" w:after="120" w:line="300" w:lineRule="exact"/>
        <w:ind w:left="1434" w:hanging="357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17C0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 a számla áfatartalma eléri az 500 000 Ft-ot, akkor legkésőbb a kézi számla kibocsátásának napján.</w:t>
      </w:r>
    </w:p>
    <w:p w14:paraId="2DB1CE0A" w14:textId="77777777" w:rsidR="00DD7D30" w:rsidRDefault="00DD7D30" w:rsidP="00B028E4">
      <w:pPr>
        <w:pStyle w:val="Listaszerbekezds"/>
        <w:shd w:val="clear" w:color="auto" w:fill="FFFFFF"/>
        <w:spacing w:before="120" w:after="120" w:line="30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F27CAB" w14:textId="7AE4C9D7" w:rsidR="00DD7D30" w:rsidRDefault="00DD7D30" w:rsidP="00B028E4">
      <w:pPr>
        <w:pStyle w:val="Listaszerbekezds"/>
        <w:shd w:val="clear" w:color="auto" w:fill="FFFFFF"/>
        <w:spacing w:before="120" w:after="120" w:line="300" w:lineRule="exac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Számla- és nyugtatömb minden esetben a Pénzügyi Igazgatóság Főpénztárától igényelhető, eleget téve a szigorú számadású nyomtatványok nyilvántartásba vételi kötelezettségének.</w:t>
      </w:r>
    </w:p>
    <w:p w14:paraId="3FC0DD0C" w14:textId="77777777" w:rsidR="00DD7D30" w:rsidRDefault="00DD7D30" w:rsidP="00936F96">
      <w:pPr>
        <w:pStyle w:val="Listaszerbekezds"/>
        <w:shd w:val="clear" w:color="auto" w:fill="FFFFFF"/>
        <w:spacing w:after="240" w:line="300" w:lineRule="exac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85ACD5" w14:textId="77777777" w:rsidR="00427ED8" w:rsidRPr="00936F96" w:rsidRDefault="00427ED8" w:rsidP="00936F96">
      <w:pPr>
        <w:pStyle w:val="Listaszerbekezds"/>
        <w:shd w:val="clear" w:color="auto" w:fill="FFFFFF"/>
        <w:spacing w:after="240" w:line="300" w:lineRule="exac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F402A3" w14:textId="0B33E6AF" w:rsidR="00F37A16" w:rsidRPr="00427ED8" w:rsidRDefault="005424F8" w:rsidP="00427ED8">
      <w:pPr>
        <w:pStyle w:val="Listaszerbekezds"/>
        <w:numPr>
          <w:ilvl w:val="0"/>
          <w:numId w:val="8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POS terminálok, pénztárgépek, parkolóautomaták átállítása</w:t>
      </w:r>
    </w:p>
    <w:p w14:paraId="5CC85CFC" w14:textId="77777777" w:rsidR="00427ED8" w:rsidRPr="00427ED8" w:rsidRDefault="00B94F13" w:rsidP="00B028E4">
      <w:pPr>
        <w:pStyle w:val="Listaszerbekezds"/>
        <w:numPr>
          <w:ilvl w:val="1"/>
          <w:numId w:val="5"/>
        </w:numPr>
        <w:shd w:val="clear" w:color="auto" w:fill="FFFFFF"/>
        <w:spacing w:before="120" w:after="120" w:line="300" w:lineRule="exact"/>
        <w:ind w:left="1434" w:hanging="357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202</w:t>
      </w:r>
      <w:r w:rsidR="002F0FC0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5. január 1</w:t>
      </w:r>
      <w:r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-én </w:t>
      </w:r>
      <w:r w:rsidR="00DD7D30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követően</w:t>
      </w:r>
      <w:r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pénztárgépek</w:t>
      </w:r>
      <w:r w:rsidR="00DD7D30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parkolóautomaták</w:t>
      </w:r>
      <w:r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B028E4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kizárólag</w:t>
      </w:r>
      <w:r w:rsidR="00427ED8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B028E4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csoportos</w:t>
      </w:r>
      <w:r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adószámmal használhatók. </w:t>
      </w:r>
      <w:r w:rsidR="00B028E4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Azok </w:t>
      </w:r>
      <w:r w:rsidR="00427ED8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esetében a csoportos adószám </w:t>
      </w:r>
      <w:r w:rsidR="00B028E4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átállítása a használó szervezeti egység feladata.</w:t>
      </w:r>
      <w:r w:rsidR="00427ED8" w:rsidRP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</w:p>
    <w:p w14:paraId="6315E661" w14:textId="5126E913" w:rsidR="00B94F13" w:rsidRPr="00427ED8" w:rsidRDefault="00427ED8" w:rsidP="00427ED8">
      <w:pPr>
        <w:shd w:val="clear" w:color="auto" w:fill="FFFFFF"/>
        <w:spacing w:before="120" w:after="120" w:line="300" w:lineRule="exact"/>
        <w:ind w:left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27ED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csoportos adószám beállítása nélkül a pénztárgépek és parkolóautomaták 2025. január 1. napjától nem használhatók.</w:t>
      </w:r>
    </w:p>
    <w:p w14:paraId="79508E59" w14:textId="5ED77A37" w:rsidR="00B028E4" w:rsidRPr="00427ED8" w:rsidRDefault="00B028E4" w:rsidP="00427ED8">
      <w:pPr>
        <w:shd w:val="clear" w:color="auto" w:fill="FFFFFF"/>
        <w:spacing w:before="120" w:after="120" w:line="300" w:lineRule="exact"/>
        <w:ind w:left="141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Pénzügyi Igazgatóság gondoskodik a jelenleg NAV részére bejelentett pénztágépek és egyéb automaták </w:t>
      </w:r>
      <w:r w:rsid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NAV felé történő be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jelentéséről. Ha ezekben változás állt be, kérem jelezni szíveskedjenek.</w:t>
      </w:r>
    </w:p>
    <w:p w14:paraId="6DC6D27B" w14:textId="1B2E65A0" w:rsidR="00FC6FB0" w:rsidRDefault="00427ED8" w:rsidP="00427ED8">
      <w:pPr>
        <w:pStyle w:val="Listaszerbekezds"/>
        <w:numPr>
          <w:ilvl w:val="1"/>
          <w:numId w:val="5"/>
        </w:numPr>
        <w:shd w:val="clear" w:color="auto" w:fill="FFFFFF"/>
        <w:spacing w:before="120" w:after="120" w:line="300" w:lineRule="exact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A pénztárgépek és egyéb automaták </w:t>
      </w:r>
      <w:r w:rsidR="00FC6FB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átállításról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legkésőbb 2025. január 3. napjáig </w:t>
      </w:r>
      <w:r w:rsidR="00FC6FB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Pénzügyi Igazgatóság részére</w:t>
      </w:r>
      <w:r w:rsidR="007A15A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tájékoztatást kell küldeni.</w:t>
      </w:r>
    </w:p>
    <w:p w14:paraId="14F02066" w14:textId="64131CC9" w:rsidR="00DD7D30" w:rsidRPr="00181049" w:rsidRDefault="00DD7D30" w:rsidP="00427ED8">
      <w:pPr>
        <w:pStyle w:val="Listaszerbekezds"/>
        <w:numPr>
          <w:ilvl w:val="1"/>
          <w:numId w:val="5"/>
        </w:numPr>
        <w:shd w:val="clear" w:color="auto" w:fill="FFFFFF"/>
        <w:spacing w:before="120" w:after="120" w:line="300" w:lineRule="exact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POS terminálok átállítását a Pénzügyi Igazgatóság kezdeményez</w:t>
      </w:r>
      <w:r w:rsid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 OTP Bank Nyrt-nél</w:t>
      </w:r>
      <w:r w:rsidR="00427E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azzal kapcsolatban a szervezeti egységeknek teendője nincs.</w:t>
      </w:r>
    </w:p>
    <w:p w14:paraId="166975CB" w14:textId="77777777" w:rsidR="0045057C" w:rsidRPr="00181049" w:rsidRDefault="0045057C" w:rsidP="009B2E5B">
      <w:pPr>
        <w:shd w:val="clear" w:color="auto" w:fill="FFFFFF"/>
        <w:spacing w:after="120" w:line="300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64FC6A65" w14:textId="2FDEDBBC" w:rsidR="007D5DD8" w:rsidRPr="00181049" w:rsidRDefault="00611F7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810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Amennyiben a fentiekkel kapcsolatban kérdés merül fel, kérem, forduljanak a Pénzügyi Igazgatóság</w:t>
      </w:r>
      <w:r w:rsidR="00427E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hoz</w:t>
      </w:r>
      <w:r w:rsidRPr="001810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428AA44B" w14:textId="77777777" w:rsidR="00611F79" w:rsidRDefault="00611F7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D0D26E" w14:textId="77777777" w:rsidR="00FC44D4" w:rsidRPr="00181049" w:rsidRDefault="00FC44D4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14C68C" w14:textId="65111231" w:rsidR="00F37A16" w:rsidRPr="00181049" w:rsidRDefault="00D77745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="000C01F0"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A7668C"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3059D0"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>. december 1</w:t>
      </w:r>
      <w:r w:rsidR="00A7668C"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3059D0" w:rsidRPr="00A766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E11DA72" w14:textId="77777777" w:rsidR="000756E9" w:rsidRPr="00181049" w:rsidRDefault="000756E9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F655B5" w14:textId="77777777" w:rsidR="007D5DD8" w:rsidRPr="00181049" w:rsidRDefault="007D5DD8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10928" w14:textId="77777777" w:rsidR="003059D0" w:rsidRDefault="000C01F0" w:rsidP="009B2E5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049">
        <w:rPr>
          <w:rFonts w:ascii="Times New Roman" w:eastAsia="Times New Roman" w:hAnsi="Times New Roman" w:cs="Times New Roman"/>
          <w:sz w:val="24"/>
          <w:szCs w:val="24"/>
          <w:lang w:eastAsia="hu-HU"/>
        </w:rPr>
        <w:t>Reif Lászlóné</w:t>
      </w:r>
    </w:p>
    <w:p w14:paraId="4D7B61B2" w14:textId="5AC13E32" w:rsidR="009A2AB5" w:rsidRPr="00181049" w:rsidRDefault="000C01F0" w:rsidP="003059D0">
      <w:pPr>
        <w:shd w:val="clear" w:color="auto" w:fill="FFFFFF"/>
        <w:spacing w:after="0" w:line="300" w:lineRule="exact"/>
        <w:jc w:val="both"/>
        <w:rPr>
          <w:sz w:val="24"/>
          <w:szCs w:val="24"/>
        </w:rPr>
      </w:pPr>
      <w:r w:rsidRPr="00181049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igazgató</w:t>
      </w:r>
    </w:p>
    <w:sectPr w:rsidR="009A2AB5" w:rsidRPr="0018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472"/>
    <w:multiLevelType w:val="hybridMultilevel"/>
    <w:tmpl w:val="D17C1C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82D"/>
    <w:multiLevelType w:val="hybridMultilevel"/>
    <w:tmpl w:val="E2E4CC9A"/>
    <w:lvl w:ilvl="0" w:tplc="98101DF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72C2"/>
    <w:multiLevelType w:val="multilevel"/>
    <w:tmpl w:val="BBE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2D4B5D"/>
    <w:multiLevelType w:val="hybridMultilevel"/>
    <w:tmpl w:val="A50EBC3A"/>
    <w:lvl w:ilvl="0" w:tplc="79EE0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101DF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E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5CF6"/>
    <w:multiLevelType w:val="hybridMultilevel"/>
    <w:tmpl w:val="45D43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2B93"/>
    <w:multiLevelType w:val="hybridMultilevel"/>
    <w:tmpl w:val="BF3A99C8"/>
    <w:lvl w:ilvl="0" w:tplc="F2ECD4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B50"/>
    <w:multiLevelType w:val="hybridMultilevel"/>
    <w:tmpl w:val="0FF6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528A"/>
    <w:multiLevelType w:val="hybridMultilevel"/>
    <w:tmpl w:val="91004B20"/>
    <w:lvl w:ilvl="0" w:tplc="EB1E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C18C3"/>
    <w:multiLevelType w:val="hybridMultilevel"/>
    <w:tmpl w:val="410E1C2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4066"/>
    <w:multiLevelType w:val="hybridMultilevel"/>
    <w:tmpl w:val="B99AEBA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8836951">
    <w:abstractNumId w:val="7"/>
  </w:num>
  <w:num w:numId="2" w16cid:durableId="272788856">
    <w:abstractNumId w:val="5"/>
  </w:num>
  <w:num w:numId="3" w16cid:durableId="974218335">
    <w:abstractNumId w:val="0"/>
  </w:num>
  <w:num w:numId="4" w16cid:durableId="600071768">
    <w:abstractNumId w:val="3"/>
  </w:num>
  <w:num w:numId="5" w16cid:durableId="1474523274">
    <w:abstractNumId w:val="8"/>
  </w:num>
  <w:num w:numId="6" w16cid:durableId="79260373">
    <w:abstractNumId w:val="9"/>
  </w:num>
  <w:num w:numId="7" w16cid:durableId="1981616806">
    <w:abstractNumId w:val="2"/>
  </w:num>
  <w:num w:numId="8" w16cid:durableId="1095632117">
    <w:abstractNumId w:val="4"/>
  </w:num>
  <w:num w:numId="9" w16cid:durableId="74321426">
    <w:abstractNumId w:val="1"/>
  </w:num>
  <w:num w:numId="10" w16cid:durableId="148400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16"/>
    <w:rsid w:val="000047AA"/>
    <w:rsid w:val="00011C3D"/>
    <w:rsid w:val="000217F1"/>
    <w:rsid w:val="00032052"/>
    <w:rsid w:val="000332ED"/>
    <w:rsid w:val="00054024"/>
    <w:rsid w:val="00061930"/>
    <w:rsid w:val="0006787A"/>
    <w:rsid w:val="000756E9"/>
    <w:rsid w:val="00075C4B"/>
    <w:rsid w:val="00075EC6"/>
    <w:rsid w:val="00094369"/>
    <w:rsid w:val="00097A06"/>
    <w:rsid w:val="000B0DAF"/>
    <w:rsid w:val="000B2803"/>
    <w:rsid w:val="000B2C0E"/>
    <w:rsid w:val="000B33E9"/>
    <w:rsid w:val="000C01F0"/>
    <w:rsid w:val="000C254E"/>
    <w:rsid w:val="000E67C7"/>
    <w:rsid w:val="00105D7A"/>
    <w:rsid w:val="001110AC"/>
    <w:rsid w:val="001231A7"/>
    <w:rsid w:val="001468DE"/>
    <w:rsid w:val="00147E03"/>
    <w:rsid w:val="001526F4"/>
    <w:rsid w:val="00181049"/>
    <w:rsid w:val="001B22B5"/>
    <w:rsid w:val="001B704D"/>
    <w:rsid w:val="001E351C"/>
    <w:rsid w:val="001E5981"/>
    <w:rsid w:val="001F4F89"/>
    <w:rsid w:val="00217330"/>
    <w:rsid w:val="00276DF4"/>
    <w:rsid w:val="0028128A"/>
    <w:rsid w:val="00284161"/>
    <w:rsid w:val="002B3FED"/>
    <w:rsid w:val="002D0499"/>
    <w:rsid w:val="002D6493"/>
    <w:rsid w:val="002E05F7"/>
    <w:rsid w:val="002E527B"/>
    <w:rsid w:val="002E5AD3"/>
    <w:rsid w:val="002F0FC0"/>
    <w:rsid w:val="002F14AD"/>
    <w:rsid w:val="002F411D"/>
    <w:rsid w:val="002F7D10"/>
    <w:rsid w:val="003059D0"/>
    <w:rsid w:val="0034646F"/>
    <w:rsid w:val="00350499"/>
    <w:rsid w:val="003963A5"/>
    <w:rsid w:val="003B648D"/>
    <w:rsid w:val="003C0FFF"/>
    <w:rsid w:val="003C5429"/>
    <w:rsid w:val="003C79CF"/>
    <w:rsid w:val="003E6D57"/>
    <w:rsid w:val="003E7027"/>
    <w:rsid w:val="00402181"/>
    <w:rsid w:val="004116C9"/>
    <w:rsid w:val="00424126"/>
    <w:rsid w:val="00427ED8"/>
    <w:rsid w:val="0045057C"/>
    <w:rsid w:val="00450EF0"/>
    <w:rsid w:val="004546A8"/>
    <w:rsid w:val="00465D9F"/>
    <w:rsid w:val="00490B05"/>
    <w:rsid w:val="00490B59"/>
    <w:rsid w:val="00492767"/>
    <w:rsid w:val="004A4053"/>
    <w:rsid w:val="004B5BF7"/>
    <w:rsid w:val="004C5F89"/>
    <w:rsid w:val="004D0038"/>
    <w:rsid w:val="004D1D63"/>
    <w:rsid w:val="004E1705"/>
    <w:rsid w:val="00501DDC"/>
    <w:rsid w:val="005118F1"/>
    <w:rsid w:val="005141E2"/>
    <w:rsid w:val="0052669A"/>
    <w:rsid w:val="005424F8"/>
    <w:rsid w:val="005429AE"/>
    <w:rsid w:val="0056245A"/>
    <w:rsid w:val="00573188"/>
    <w:rsid w:val="00577B2F"/>
    <w:rsid w:val="00594D79"/>
    <w:rsid w:val="00596995"/>
    <w:rsid w:val="005F672F"/>
    <w:rsid w:val="005F7228"/>
    <w:rsid w:val="00605A72"/>
    <w:rsid w:val="00611F79"/>
    <w:rsid w:val="00617C06"/>
    <w:rsid w:val="00653BA4"/>
    <w:rsid w:val="00660984"/>
    <w:rsid w:val="00662C2A"/>
    <w:rsid w:val="006661E8"/>
    <w:rsid w:val="006858B8"/>
    <w:rsid w:val="006F12F9"/>
    <w:rsid w:val="006F271C"/>
    <w:rsid w:val="00741198"/>
    <w:rsid w:val="00752F5B"/>
    <w:rsid w:val="00753ACE"/>
    <w:rsid w:val="00756281"/>
    <w:rsid w:val="00757392"/>
    <w:rsid w:val="0076032B"/>
    <w:rsid w:val="007643A9"/>
    <w:rsid w:val="00783C9E"/>
    <w:rsid w:val="00784723"/>
    <w:rsid w:val="00791E5C"/>
    <w:rsid w:val="007A15A2"/>
    <w:rsid w:val="007C5F33"/>
    <w:rsid w:val="007C7FA5"/>
    <w:rsid w:val="007D5DD8"/>
    <w:rsid w:val="007F1373"/>
    <w:rsid w:val="007F6AAD"/>
    <w:rsid w:val="007F7A8E"/>
    <w:rsid w:val="008150C5"/>
    <w:rsid w:val="008177B3"/>
    <w:rsid w:val="00821D04"/>
    <w:rsid w:val="00870E55"/>
    <w:rsid w:val="00882711"/>
    <w:rsid w:val="008B0BB3"/>
    <w:rsid w:val="008C22B9"/>
    <w:rsid w:val="00901710"/>
    <w:rsid w:val="00936F96"/>
    <w:rsid w:val="00963780"/>
    <w:rsid w:val="009A0ACB"/>
    <w:rsid w:val="009A2AB5"/>
    <w:rsid w:val="009B2E5B"/>
    <w:rsid w:val="009F01B4"/>
    <w:rsid w:val="00A253C5"/>
    <w:rsid w:val="00A32D2C"/>
    <w:rsid w:val="00A66B03"/>
    <w:rsid w:val="00A7668C"/>
    <w:rsid w:val="00A85FEB"/>
    <w:rsid w:val="00AD3C8F"/>
    <w:rsid w:val="00AD58FE"/>
    <w:rsid w:val="00AF31F0"/>
    <w:rsid w:val="00B028E4"/>
    <w:rsid w:val="00B0308F"/>
    <w:rsid w:val="00B214C7"/>
    <w:rsid w:val="00B22562"/>
    <w:rsid w:val="00B23673"/>
    <w:rsid w:val="00B3761A"/>
    <w:rsid w:val="00B4061A"/>
    <w:rsid w:val="00B42FBF"/>
    <w:rsid w:val="00B52514"/>
    <w:rsid w:val="00B60DDF"/>
    <w:rsid w:val="00B94F13"/>
    <w:rsid w:val="00BD0575"/>
    <w:rsid w:val="00BD0A42"/>
    <w:rsid w:val="00BE3AAA"/>
    <w:rsid w:val="00C06BF8"/>
    <w:rsid w:val="00C072AA"/>
    <w:rsid w:val="00C14FDF"/>
    <w:rsid w:val="00C27ABE"/>
    <w:rsid w:val="00C812FA"/>
    <w:rsid w:val="00C82282"/>
    <w:rsid w:val="00C91D61"/>
    <w:rsid w:val="00CB0796"/>
    <w:rsid w:val="00CB420A"/>
    <w:rsid w:val="00CC4E24"/>
    <w:rsid w:val="00CC6FC0"/>
    <w:rsid w:val="00CF4DFF"/>
    <w:rsid w:val="00D01BE6"/>
    <w:rsid w:val="00D023B7"/>
    <w:rsid w:val="00D1128D"/>
    <w:rsid w:val="00D56AE9"/>
    <w:rsid w:val="00D77745"/>
    <w:rsid w:val="00DA07EE"/>
    <w:rsid w:val="00DC5643"/>
    <w:rsid w:val="00DD7D30"/>
    <w:rsid w:val="00E053C3"/>
    <w:rsid w:val="00E41518"/>
    <w:rsid w:val="00E431EE"/>
    <w:rsid w:val="00E526A1"/>
    <w:rsid w:val="00E55B43"/>
    <w:rsid w:val="00EB0198"/>
    <w:rsid w:val="00EF2E1C"/>
    <w:rsid w:val="00F031BD"/>
    <w:rsid w:val="00F24CF1"/>
    <w:rsid w:val="00F37A16"/>
    <w:rsid w:val="00F56586"/>
    <w:rsid w:val="00F847B2"/>
    <w:rsid w:val="00F90891"/>
    <w:rsid w:val="00F91D45"/>
    <w:rsid w:val="00FB0369"/>
    <w:rsid w:val="00FC44D4"/>
    <w:rsid w:val="00FC6FB0"/>
    <w:rsid w:val="00FE4242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8DC8"/>
  <w15:chartTrackingRefBased/>
  <w15:docId w15:val="{CE3E5A31-8303-4FB1-9A56-40C8B5DF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F37A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F37A16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3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7A16"/>
    <w:rPr>
      <w:b/>
      <w:bCs/>
    </w:rPr>
  </w:style>
  <w:style w:type="character" w:styleId="Kiemels">
    <w:name w:val="Emphasis"/>
    <w:basedOn w:val="Bekezdsalapbettpusa"/>
    <w:uiPriority w:val="20"/>
    <w:qFormat/>
    <w:rsid w:val="00F37A1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37A1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F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53ACE"/>
    <w:pPr>
      <w:ind w:left="720"/>
      <w:contextualSpacing/>
    </w:pPr>
  </w:style>
  <w:style w:type="paragraph" w:styleId="Vltozat">
    <w:name w:val="Revision"/>
    <w:hidden/>
    <w:uiPriority w:val="99"/>
    <w:semiHidden/>
    <w:rsid w:val="00DC5643"/>
    <w:pPr>
      <w:spacing w:after="0" w:line="240" w:lineRule="auto"/>
    </w:pPr>
  </w:style>
  <w:style w:type="table" w:styleId="Rcsostblzat">
    <w:name w:val="Table Grid"/>
    <w:basedOn w:val="Normltblzat"/>
    <w:uiPriority w:val="39"/>
    <w:rsid w:val="0087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D7D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D7D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D7D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7D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7D30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61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enzugy.szallito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c9e821f3d566f0be37cdcfdefac57e45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38a0df04bf6dc4f95d0d04b187b76ee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4ce85f-4a1a-4e4a-aa8b-8970138fd6b5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6BBC-B579-45B1-8F79-A7EDF2FAB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CE184-8344-4860-92D5-2BC2D1AD74B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C5650FC3-09F9-4DE4-B1D1-C2209C3D6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410BE-7255-48D9-8356-74DCCE99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Erdeiné Jakab Katalin</dc:creator>
  <cp:keywords/>
  <dc:description/>
  <cp:lastModifiedBy>Gedó Krisztina (pénzügyi koordinátor)</cp:lastModifiedBy>
  <cp:revision>6</cp:revision>
  <cp:lastPrinted>2020-11-19T13:05:00Z</cp:lastPrinted>
  <dcterms:created xsi:type="dcterms:W3CDTF">2024-12-19T13:30:00Z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