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B37ED3">
        <w:rPr>
          <w:rFonts w:ascii="Times New Roman" w:hAnsi="Times New Roman" w:cs="Times New Roman"/>
          <w:sz w:val="24"/>
        </w:rPr>
        <w:t xml:space="preserve">tés a </w:t>
      </w:r>
      <w:r w:rsidR="00A95951">
        <w:rPr>
          <w:rFonts w:ascii="Times New Roman" w:hAnsi="Times New Roman" w:cs="Times New Roman"/>
          <w:sz w:val="24"/>
        </w:rPr>
        <w:t xml:space="preserve">Cook </w:t>
      </w:r>
      <w:proofErr w:type="spellStart"/>
      <w:r w:rsidR="00A95951">
        <w:rPr>
          <w:rFonts w:ascii="Times New Roman" w:hAnsi="Times New Roman" w:cs="Times New Roman"/>
          <w:sz w:val="24"/>
        </w:rPr>
        <w:t>Medical</w:t>
      </w:r>
      <w:proofErr w:type="spellEnd"/>
      <w:r w:rsidR="00A959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A95951">
        <w:rPr>
          <w:rFonts w:ascii="Times New Roman" w:hAnsi="Times New Roman" w:cs="Times New Roman"/>
          <w:bCs/>
          <w:sz w:val="24"/>
        </w:rPr>
        <w:t xml:space="preserve">m és a Cook </w:t>
      </w:r>
      <w:proofErr w:type="spellStart"/>
      <w:r w:rsidR="00A95951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A95951">
        <w:rPr>
          <w:rFonts w:ascii="Times New Roman" w:hAnsi="Times New Roman" w:cs="Times New Roman"/>
          <w:b/>
          <w:bCs/>
          <w:sz w:val="24"/>
        </w:rPr>
        <w:t>000446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95951">
        <w:rPr>
          <w:rFonts w:ascii="Times New Roman" w:hAnsi="Times New Roman" w:cs="Times New Roman"/>
          <w:b/>
          <w:bCs/>
          <w:sz w:val="24"/>
        </w:rPr>
        <w:t>18.592.800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9595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7663-D3C6-4660-B6BF-88EB72B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2020-01-27T07:34:00Z</dcterms:created>
  <dcterms:modified xsi:type="dcterms:W3CDTF">2020-01-27T07:35:00Z</dcterms:modified>
</cp:coreProperties>
</file>