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8" w:rsidRDefault="00943370">
      <w:pPr>
        <w:spacing w:after="0" w:line="216" w:lineRule="auto"/>
        <w:ind w:left="72" w:right="-51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45720</wp:posOffset>
            </wp:positionH>
            <wp:positionV relativeFrom="paragraph">
              <wp:posOffset>28352</wp:posOffset>
            </wp:positionV>
            <wp:extent cx="3387852" cy="996696"/>
            <wp:effectExtent l="0" t="0" r="0" b="0"/>
            <wp:wrapSquare wrapText="bothSides"/>
            <wp:docPr id="610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85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 xml:space="preserve">SEMMELWEIS EGYETEM </w:t>
      </w:r>
      <w:proofErr w:type="spellStart"/>
      <w:r>
        <w:rPr>
          <w:rFonts w:ascii="Times New Roman" w:eastAsia="Times New Roman" w:hAnsi="Times New Roman" w:cs="Times New Roman"/>
          <w:sz w:val="30"/>
        </w:rPr>
        <w:t>Gazdasáqi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Főiqazgatóság</w:t>
      </w:r>
      <w:proofErr w:type="spellEnd"/>
      <w:r>
        <w:rPr>
          <w:noProof/>
        </w:rPr>
        <mc:AlternateContent>
          <mc:Choice Requires="wpg">
            <w:drawing>
              <wp:inline distT="0" distB="0" distL="0" distR="0">
                <wp:extent cx="1243584" cy="13716"/>
                <wp:effectExtent l="0" t="0" r="0" b="0"/>
                <wp:docPr id="6104" name="Group 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84" cy="13716"/>
                          <a:chOff x="0" y="0"/>
                          <a:chExt cx="1243584" cy="13716"/>
                        </a:xfrm>
                      </wpg:grpSpPr>
                      <wps:wsp>
                        <wps:cNvPr id="6103" name="Shape 6103"/>
                        <wps:cNvSpPr/>
                        <wps:spPr>
                          <a:xfrm>
                            <a:off x="0" y="0"/>
                            <a:ext cx="12435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13716">
                                <a:moveTo>
                                  <a:pt x="0" y="6858"/>
                                </a:moveTo>
                                <a:lnTo>
                                  <a:pt x="12435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4" style="width:97.92pt;height:1.07999pt;mso-position-horizontal-relative:char;mso-position-vertical-relative:line" coordsize="12435,137">
                <v:shape id="Shape 6103" style="position:absolute;width:12435;height:137;left:0;top:0;" coordsize="1243584,13716" path="m0,6858l124358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34DA8" w:rsidRDefault="00943370">
      <w:pPr>
        <w:spacing w:after="0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1085 </w:t>
      </w:r>
      <w:proofErr w:type="gramStart"/>
      <w:r>
        <w:rPr>
          <w:rFonts w:ascii="Times New Roman" w:eastAsia="Times New Roman" w:hAnsi="Times New Roman" w:cs="Times New Roman"/>
          <w:sz w:val="24"/>
        </w:rPr>
        <w:t>Budapest,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VIII. Üllői út 26.</w:t>
      </w:r>
    </w:p>
    <w:p w:rsidR="00234DA8" w:rsidRDefault="00943370">
      <w:pPr>
        <w:spacing w:after="0"/>
        <w:ind w:left="72"/>
      </w:pPr>
      <w:proofErr w:type="gramStart"/>
      <w:r>
        <w:rPr>
          <w:rFonts w:ascii="Times New Roman" w:eastAsia="Times New Roman" w:hAnsi="Times New Roman" w:cs="Times New Roman"/>
        </w:rPr>
        <w:t>Főigazgató :</w:t>
      </w:r>
      <w:proofErr w:type="gramEnd"/>
      <w:r>
        <w:rPr>
          <w:rFonts w:ascii="Times New Roman" w:eastAsia="Times New Roman" w:hAnsi="Times New Roman" w:cs="Times New Roman"/>
        </w:rPr>
        <w:t xml:space="preserve"> Baumgartnerné Holló Irén</w:t>
      </w:r>
    </w:p>
    <w:p w:rsidR="00234DA8" w:rsidRDefault="00943370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</w:rPr>
        <w:t>Tel</w:t>
      </w:r>
      <w:proofErr w:type="gramStart"/>
      <w:r>
        <w:rPr>
          <w:rFonts w:ascii="Times New Roman" w:eastAsia="Times New Roman" w:hAnsi="Times New Roman" w:cs="Times New Roman"/>
        </w:rPr>
        <w:t>.:</w:t>
      </w:r>
      <w:proofErr w:type="gramEnd"/>
      <w:r>
        <w:rPr>
          <w:rFonts w:ascii="Times New Roman" w:eastAsia="Times New Roman" w:hAnsi="Times New Roman" w:cs="Times New Roman"/>
        </w:rPr>
        <w:t xml:space="preserve"> 266-0454</w:t>
      </w:r>
    </w:p>
    <w:p w:rsidR="00234DA8" w:rsidRDefault="00943370">
      <w:pPr>
        <w:spacing w:after="858" w:line="265" w:lineRule="auto"/>
        <w:ind w:left="24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E-mail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titkarsag.gfi@semmelweis-univ.hu</w:t>
      </w:r>
    </w:p>
    <w:p w:rsidR="00234DA8" w:rsidRDefault="00943370">
      <w:pPr>
        <w:tabs>
          <w:tab w:val="center" w:pos="6703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Semmelweis Egyetem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Ikt.szám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.• </w:t>
      </w:r>
      <w:r>
        <w:rPr>
          <w:noProof/>
        </w:rPr>
        <w:drawing>
          <wp:inline distT="0" distB="0" distL="0" distR="0">
            <wp:extent cx="617219" cy="182880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/KMIN1/2019.</w:t>
      </w:r>
    </w:p>
    <w:p w:rsidR="00234DA8" w:rsidRDefault="00943370">
      <w:pPr>
        <w:spacing w:after="3"/>
        <w:ind w:left="4971" w:hanging="10"/>
        <w:jc w:val="both"/>
      </w:pPr>
      <w:r>
        <w:rPr>
          <w:rFonts w:ascii="Times New Roman" w:eastAsia="Times New Roman" w:hAnsi="Times New Roman" w:cs="Times New Roman"/>
          <w:sz w:val="26"/>
        </w:rPr>
        <w:t>Tárgy: Adatszolgáltatás Uniós projektek keretében használatra átvett eszközök ügyében</w:t>
      </w:r>
    </w:p>
    <w:p w:rsidR="00234DA8" w:rsidRDefault="00234DA8">
      <w:pPr>
        <w:sectPr w:rsidR="00234DA8">
          <w:pgSz w:w="11902" w:h="16834"/>
          <w:pgMar w:top="776" w:right="814" w:bottom="785" w:left="1318" w:header="708" w:footer="708" w:gutter="0"/>
          <w:cols w:space="708"/>
        </w:sectPr>
      </w:pPr>
    </w:p>
    <w:p w:rsidR="00234DA8" w:rsidRDefault="00943370">
      <w:pPr>
        <w:spacing w:after="0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Tisztelt I. Belgyógyászati Klinika Vezetője, Gazdasági Vezetője!</w:t>
      </w:r>
    </w:p>
    <w:p w:rsidR="00234DA8" w:rsidRDefault="00943370">
      <w:pPr>
        <w:spacing w:after="0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Tisztelt II. Belgyógyászati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I. Sebészeti Kli</w:t>
      </w:r>
      <w:r>
        <w:rPr>
          <w:rFonts w:ascii="Times New Roman" w:eastAsia="Times New Roman" w:hAnsi="Times New Roman" w:cs="Times New Roman"/>
          <w:sz w:val="26"/>
        </w:rPr>
        <w:t>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II. Sebészeti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Városmajori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I. Szülészeti és Nőgyógyászati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II. Szülészeti</w:t>
      </w:r>
      <w:r>
        <w:rPr>
          <w:rFonts w:ascii="Times New Roman" w:eastAsia="Times New Roman" w:hAnsi="Times New Roman" w:cs="Times New Roman"/>
          <w:sz w:val="26"/>
        </w:rPr>
        <w:t xml:space="preserve"> és Nőgyógyászati Klinika Vezetője, Gazdasági Vezetője!</w:t>
      </w:r>
    </w:p>
    <w:p w:rsidR="00234DA8" w:rsidRDefault="00943370">
      <w:pPr>
        <w:spacing w:after="3"/>
        <w:ind w:left="31" w:right="1303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I. Gyermekgyógyászati Klinika Vezetője, Gazdasági Vezetője! Tisztelt II. Gyermekgyógyászai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Szemészeti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Fül-orr Gégészeti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Pszichiátriai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Neurológiai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Bőrgyógyászati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Tisztelt </w:t>
      </w:r>
      <w:r>
        <w:rPr>
          <w:rFonts w:ascii="Times New Roman" w:eastAsia="Times New Roman" w:hAnsi="Times New Roman" w:cs="Times New Roman"/>
          <w:sz w:val="26"/>
        </w:rPr>
        <w:t>Urológiai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Arc-állcsont és Szájsebészeti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Radiológiai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Pulmonológiai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Or</w:t>
      </w:r>
      <w:r>
        <w:rPr>
          <w:rFonts w:ascii="Times New Roman" w:eastAsia="Times New Roman" w:hAnsi="Times New Roman" w:cs="Times New Roman"/>
          <w:sz w:val="26"/>
        </w:rPr>
        <w:t>topédiai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I. Patológiai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Belső Klinikai Tömb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Onkológiai Központ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Konzerváló Fogászati K</w:t>
      </w:r>
      <w:r>
        <w:rPr>
          <w:rFonts w:ascii="Times New Roman" w:eastAsia="Times New Roman" w:hAnsi="Times New Roman" w:cs="Times New Roman"/>
          <w:sz w:val="26"/>
        </w:rPr>
        <w:t>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Tisztelt </w:t>
      </w:r>
      <w:proofErr w:type="spellStart"/>
      <w:r>
        <w:rPr>
          <w:rFonts w:ascii="Times New Roman" w:eastAsia="Times New Roman" w:hAnsi="Times New Roman" w:cs="Times New Roman"/>
          <w:sz w:val="26"/>
        </w:rPr>
        <w:t>Parodontológiai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Fogpótlástani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Fogászati és Szájsebészti Oktatási Intézet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Gyer</w:t>
      </w:r>
      <w:r>
        <w:rPr>
          <w:rFonts w:ascii="Times New Roman" w:eastAsia="Times New Roman" w:hAnsi="Times New Roman" w:cs="Times New Roman"/>
          <w:sz w:val="26"/>
        </w:rPr>
        <w:t>mekfogászati és Fogszabályozási Klinika Vezetője, Gazdasági Vezetője! Tisztelt KÚT Klinikai Tömb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Transzplantációs és Sebészeti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MR Kutató Központ Vezetője, Gazdasági Vezet</w:t>
      </w:r>
      <w:r>
        <w:rPr>
          <w:rFonts w:ascii="Times New Roman" w:eastAsia="Times New Roman" w:hAnsi="Times New Roman" w:cs="Times New Roman"/>
          <w:sz w:val="26"/>
        </w:rPr>
        <w:t>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Mellkassebészeti Klinika Vezetője, Gazdasági Vezetője!</w:t>
      </w:r>
    </w:p>
    <w:p w:rsidR="00234DA8" w:rsidRDefault="00943370">
      <w:pPr>
        <w:spacing w:after="3"/>
        <w:ind w:left="31" w:hanging="10"/>
        <w:jc w:val="both"/>
      </w:pPr>
      <w:r>
        <w:rPr>
          <w:rFonts w:ascii="Times New Roman" w:eastAsia="Times New Roman" w:hAnsi="Times New Roman" w:cs="Times New Roman"/>
          <w:sz w:val="26"/>
        </w:rPr>
        <w:t>Tisztelt Egészségügyi Hálózat-</w:t>
      </w:r>
      <w:proofErr w:type="spellStart"/>
      <w:r>
        <w:rPr>
          <w:rFonts w:ascii="Times New Roman" w:eastAsia="Times New Roman" w:hAnsi="Times New Roman" w:cs="Times New Roman"/>
          <w:sz w:val="26"/>
        </w:rPr>
        <w:t>lrányítási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Igazgatóság Vezetője, Gazdasági Vezetője!</w:t>
      </w:r>
    </w:p>
    <w:p w:rsidR="00234DA8" w:rsidRDefault="00943370">
      <w:pPr>
        <w:spacing w:after="415" w:line="369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Tájékoztatom, hogy a TIOP-2.2.8-14-2015-0002 és TIOP-2.3.3-1361-2014-0001 projektek keretében az Egyetem által átvett eszközök a kötelezettségvállalási nyilatkozatban foglaltak alapján az Egyetem használatába kerültek, azonban az Állami Egészségügyi Ellátó</w:t>
      </w:r>
      <w:r>
        <w:rPr>
          <w:rFonts w:ascii="Times New Roman" w:eastAsia="Times New Roman" w:hAnsi="Times New Roman" w:cs="Times New Roman"/>
          <w:sz w:val="24"/>
        </w:rPr>
        <w:t xml:space="preserve"> Központ (ÁEEK) kizárólagos tulajdonát képezik. Az ÁEEK felszólítása alapján a projektben érintett minden szervezeti egységnek azonnali adatszolgáltatási kötelezettséget kell teljesítenie. A mellékelt táblázat tartalmazza az adatszolgáltatással érintett es</w:t>
      </w:r>
      <w:r>
        <w:rPr>
          <w:rFonts w:ascii="Times New Roman" w:eastAsia="Times New Roman" w:hAnsi="Times New Roman" w:cs="Times New Roman"/>
          <w:sz w:val="24"/>
        </w:rPr>
        <w:t xml:space="preserve">zközökre vonatkozó </w:t>
      </w:r>
      <w:proofErr w:type="gramStart"/>
      <w:r>
        <w:rPr>
          <w:rFonts w:ascii="Times New Roman" w:eastAsia="Times New Roman" w:hAnsi="Times New Roman" w:cs="Times New Roman"/>
          <w:sz w:val="24"/>
        </w:rPr>
        <w:t>információkat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34DA8" w:rsidRDefault="00943370">
      <w:pPr>
        <w:spacing w:after="95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leltározásra vonatkozó ÁEEK által elvárt </w:t>
      </w:r>
      <w:proofErr w:type="gramStart"/>
      <w:r>
        <w:rPr>
          <w:rFonts w:ascii="Times New Roman" w:eastAsia="Times New Roman" w:hAnsi="Times New Roman" w:cs="Times New Roman"/>
          <w:sz w:val="24"/>
        </w:rPr>
        <w:t>információk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34DA8" w:rsidRDefault="00943370">
      <w:pPr>
        <w:spacing w:after="420" w:line="365" w:lineRule="auto"/>
        <w:ind w:left="392" w:right="223" w:hanging="10"/>
        <w:jc w:val="both"/>
      </w:pPr>
      <w:r>
        <w:rPr>
          <w:noProof/>
        </w:rPr>
        <w:drawing>
          <wp:inline distT="0" distB="0" distL="0" distR="0">
            <wp:extent cx="45720" cy="22860"/>
            <wp:effectExtent l="0" t="0" r="0" b="0"/>
            <wp:docPr id="2993" name="Picture 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" name="Picture 2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leltározott helyszín megnevezése </w:t>
      </w:r>
      <w:r>
        <w:rPr>
          <w:noProof/>
        </w:rPr>
        <w:drawing>
          <wp:inline distT="0" distB="0" distL="0" distR="0">
            <wp:extent cx="196596" cy="32004"/>
            <wp:effectExtent l="0" t="0" r="0" b="0"/>
            <wp:docPr id="6106" name="Picture 6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" name="Picture 6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a leltározás megkezdésének és befejezésének kelte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2996" name="Picture 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" name="Picture 2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a leltározók, </w:t>
      </w:r>
      <w:proofErr w:type="spellStart"/>
      <w:r>
        <w:rPr>
          <w:rFonts w:ascii="Times New Roman" w:eastAsia="Times New Roman" w:hAnsi="Times New Roman" w:cs="Times New Roman"/>
          <w:sz w:val="24"/>
        </w:rPr>
        <w:t>leltárellenórök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leltárfelelósök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neve, aláírása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2997" name="Picture 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" name="Picture 2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a leltárért </w:t>
      </w:r>
      <w:r>
        <w:rPr>
          <w:rFonts w:ascii="Times New Roman" w:eastAsia="Times New Roman" w:hAnsi="Times New Roman" w:cs="Times New Roman"/>
          <w:sz w:val="24"/>
        </w:rPr>
        <w:t xml:space="preserve">anyagilag felelős személy nyilatkozata, hogy a leltár megfelel a valóságnak, az abban szereplő adatokért felelősséget vállal </w:t>
      </w:r>
      <w:r>
        <w:rPr>
          <w:noProof/>
        </w:rPr>
        <w:drawing>
          <wp:inline distT="0" distB="0" distL="0" distR="0">
            <wp:extent cx="45720" cy="13716"/>
            <wp:effectExtent l="0" t="0" r="0" b="0"/>
            <wp:docPr id="2998" name="Picture 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" name="Picture 29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a leltározással szembeni esetleges kifogások </w:t>
      </w:r>
      <w:r>
        <w:rPr>
          <w:noProof/>
        </w:rPr>
        <w:drawing>
          <wp:inline distT="0" distB="0" distL="0" distR="0">
            <wp:extent cx="41148" cy="13716"/>
            <wp:effectExtent l="0" t="0" r="0" b="0"/>
            <wp:docPr id="2999" name="Picture 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" name="Picture 2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leltári eltérések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felelős vezető neve, aláírása.</w:t>
      </w:r>
    </w:p>
    <w:p w:rsidR="00234DA8" w:rsidRDefault="00943370">
      <w:pPr>
        <w:spacing w:after="815" w:line="372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Tekintettel arra, hogy az eszkö</w:t>
      </w:r>
      <w:r>
        <w:rPr>
          <w:rFonts w:ascii="Times New Roman" w:eastAsia="Times New Roman" w:hAnsi="Times New Roman" w:cs="Times New Roman"/>
          <w:sz w:val="24"/>
        </w:rPr>
        <w:t xml:space="preserve">zök jelenlegi </w:t>
      </w:r>
      <w:proofErr w:type="gramStart"/>
      <w:r>
        <w:rPr>
          <w:rFonts w:ascii="Times New Roman" w:eastAsia="Times New Roman" w:hAnsi="Times New Roman" w:cs="Times New Roman"/>
          <w:sz w:val="24"/>
        </w:rPr>
        <w:t>státuszáról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TIOP projektben részt vevő szervezeti egységek kötelesek számot adni, ezért kérem a mellékelt eszközök leltározására vonatkozó adatszolgáltatási táblázatnak és a leltárkészítési és leltárkezelési szabályzat 6. számú mellékleténe</w:t>
      </w:r>
      <w:r>
        <w:rPr>
          <w:rFonts w:ascii="Times New Roman" w:eastAsia="Times New Roman" w:hAnsi="Times New Roman" w:cs="Times New Roman"/>
          <w:sz w:val="24"/>
        </w:rPr>
        <w:t xml:space="preserve">k kitöltését és elküldését </w:t>
      </w:r>
      <w:proofErr w:type="spellStart"/>
      <w:r>
        <w:rPr>
          <w:rFonts w:ascii="Times New Roman" w:eastAsia="Times New Roman" w:hAnsi="Times New Roman" w:cs="Times New Roman"/>
          <w:sz w:val="24"/>
        </w:rPr>
        <w:t>scannelt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formában 2019. december 15-i határidővel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toth.orsoly_a@semmelweis-univ.hu</w:t>
      </w:r>
      <w:r>
        <w:rPr>
          <w:rFonts w:ascii="Times New Roman" w:eastAsia="Times New Roman" w:hAnsi="Times New Roman" w:cs="Times New Roman"/>
          <w:sz w:val="24"/>
        </w:rPr>
        <w:t xml:space="preserve"> mail címre, 1 példányt eredetben pedig a 1085 Budapest, </w:t>
      </w:r>
      <w:proofErr w:type="spellStart"/>
      <w:r>
        <w:rPr>
          <w:rFonts w:ascii="Times New Roman" w:eastAsia="Times New Roman" w:hAnsi="Times New Roman" w:cs="Times New Roman"/>
          <w:sz w:val="24"/>
        </w:rPr>
        <w:t>Rökk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Szilárd utca 13. /Műszaki Főigazgatóság Gazdasági Feladatait Ellátó Gazdálkodási Oszt</w:t>
      </w:r>
      <w:r>
        <w:rPr>
          <w:rFonts w:ascii="Times New Roman" w:eastAsia="Times New Roman" w:hAnsi="Times New Roman" w:cs="Times New Roman"/>
          <w:sz w:val="24"/>
        </w:rPr>
        <w:t>ály/Tóth Orsolya részére.</w:t>
      </w:r>
    </w:p>
    <w:p w:rsidR="00234DA8" w:rsidRDefault="00943370">
      <w:pPr>
        <w:spacing w:after="55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>Tisztelettel:</w:t>
      </w:r>
    </w:p>
    <w:p w:rsidR="00234DA8" w:rsidRDefault="00943370">
      <w:pPr>
        <w:spacing w:after="0"/>
        <w:ind w:left="-336" w:right="662" w:hanging="10"/>
        <w:jc w:val="right"/>
      </w:pPr>
      <w:r>
        <w:rPr>
          <w:rFonts w:ascii="Times New Roman" w:eastAsia="Times New Roman" w:hAnsi="Times New Roman" w:cs="Times New Roman"/>
          <w:sz w:val="24"/>
        </w:rPr>
        <w:t>Baumgartnerné Holló Irén</w:t>
      </w:r>
    </w:p>
    <w:p w:rsidR="00234DA8" w:rsidRDefault="00943370">
      <w:pPr>
        <w:tabs>
          <w:tab w:val="center" w:pos="7272"/>
        </w:tabs>
        <w:spacing w:after="0"/>
        <w:ind w:left="-346"/>
      </w:pPr>
      <w:r>
        <w:rPr>
          <w:noProof/>
        </w:rPr>
        <w:drawing>
          <wp:inline distT="0" distB="0" distL="0" distR="0">
            <wp:extent cx="2208276" cy="1444752"/>
            <wp:effectExtent l="0" t="0" r="0" b="0"/>
            <wp:docPr id="6108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2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Gazdasági Főigazgató</w:t>
      </w:r>
    </w:p>
    <w:p w:rsidR="00234DA8" w:rsidRDefault="00943370">
      <w:pPr>
        <w:spacing w:after="0"/>
        <w:ind w:left="425"/>
      </w:pPr>
      <w:proofErr w:type="gramStart"/>
      <w:r>
        <w:rPr>
          <w:sz w:val="26"/>
        </w:rPr>
        <w:t>igazgató</w:t>
      </w:r>
      <w:proofErr w:type="gramEnd"/>
    </w:p>
    <w:sectPr w:rsidR="00234DA8">
      <w:type w:val="continuous"/>
      <w:pgSz w:w="11902" w:h="16834"/>
      <w:pgMar w:top="1441" w:right="1390" w:bottom="785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8"/>
    <w:rsid w:val="00234DA8"/>
    <w:rsid w:val="009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6DBE-C1F1-477D-908C-51C68C8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 Anna</dc:creator>
  <cp:keywords/>
  <cp:lastModifiedBy>Kerekes Anna</cp:lastModifiedBy>
  <cp:revision>2</cp:revision>
  <dcterms:created xsi:type="dcterms:W3CDTF">2019-11-15T11:07:00Z</dcterms:created>
  <dcterms:modified xsi:type="dcterms:W3CDTF">2019-11-15T11:07:00Z</dcterms:modified>
</cp:coreProperties>
</file>