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6B3375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6B3375">
              <w:t>A minőségüggyel és a betegbiztonsággal összefüggő alapfogalmak és módszerek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6B3375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6B3375" w:rsidP="006B3375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7F179D" w:rsidRPr="001102C7" w:rsidTr="006B3375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646A4" w:rsidRDefault="006B3375" w:rsidP="002646A4">
            <w:r w:rsidRPr="006B3375">
              <w:t>A hallgató ismerje, értse és alkalmazza helyesen a minőségüggyel és a betegbiztonsággal kapcsolatos legfontosabb alapfogalmakat, értse meg a fogalmak közötti kapcsolatrendszert. Ismerje meg az alkalmazható minőségfejlesztési módszereket és azokat legyen képes készség szintjén alkalmazni.</w:t>
            </w:r>
          </w:p>
          <w:p w:rsidR="006B3375" w:rsidRDefault="006B3375" w:rsidP="006B3375">
            <w:r>
              <w:t>Az előadások alapján a hallgatóknak alapszinten ismerniük és érteniük kell</w:t>
            </w:r>
          </w:p>
          <w:p w:rsidR="006B3375" w:rsidRDefault="006B3375" w:rsidP="006B3375">
            <w:r>
              <w:t>•</w:t>
            </w:r>
            <w:r>
              <w:tab/>
              <w:t>az ellátás minőségével, a betegbiztonsággal kapcsolatos fogalmakat</w:t>
            </w:r>
          </w:p>
          <w:p w:rsidR="006B3375" w:rsidRDefault="006B3375" w:rsidP="006B3375">
            <w:r>
              <w:t>•</w:t>
            </w:r>
            <w:r>
              <w:tab/>
              <w:t>az ok és az okozat elkülönítését</w:t>
            </w:r>
          </w:p>
          <w:p w:rsidR="006B3375" w:rsidRDefault="006B3375" w:rsidP="006B3375">
            <w:r>
              <w:t>•</w:t>
            </w:r>
            <w:r>
              <w:tab/>
              <w:t>a káros eseményekhez vezető okokat és körülményeket</w:t>
            </w:r>
          </w:p>
          <w:p w:rsidR="006B3375" w:rsidRDefault="006B3375" w:rsidP="006B3375">
            <w:r>
              <w:t>•</w:t>
            </w:r>
            <w:r>
              <w:tab/>
              <w:t>az oki kutatás módszertanát</w:t>
            </w:r>
          </w:p>
          <w:p w:rsidR="006B3375" w:rsidRDefault="006B3375" w:rsidP="006B3375">
            <w:r>
              <w:t>•</w:t>
            </w:r>
            <w:r>
              <w:tab/>
              <w:t>a folyamatok leírásának módszereit</w:t>
            </w:r>
          </w:p>
          <w:p w:rsidR="006B3375" w:rsidRDefault="006B3375" w:rsidP="006B3375">
            <w:r>
              <w:t>•</w:t>
            </w:r>
            <w:r>
              <w:tab/>
              <w:t>az okokra támaszkodó megoldási javaslatok megfogalmazását</w:t>
            </w:r>
          </w:p>
          <w:p w:rsidR="006B3375" w:rsidRDefault="006B3375" w:rsidP="006B3375">
            <w:r>
              <w:t>•</w:t>
            </w:r>
            <w:r>
              <w:tab/>
              <w:t>a megvalósítható megoldások kiválasztásának módszereit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3375" w:rsidRPr="006B3375" w:rsidRDefault="006B3375" w:rsidP="006B3375">
            <w:pPr>
              <w:pStyle w:val="Kurzus-alap"/>
              <w:rPr>
                <w:rFonts w:asciiTheme="minorHAnsi" w:hAnsiTheme="minorHAnsi" w:cstheme="minorHAnsi"/>
              </w:rPr>
            </w:pPr>
            <w:r w:rsidRPr="006B3375">
              <w:rPr>
                <w:rFonts w:asciiTheme="minorHAnsi" w:hAnsiTheme="minorHAnsi" w:cstheme="minorHAnsi"/>
              </w:rPr>
              <w:t>•</w:t>
            </w:r>
            <w:r w:rsidRPr="006B3375">
              <w:rPr>
                <w:rFonts w:asciiTheme="minorHAnsi" w:hAnsiTheme="minorHAnsi" w:cstheme="minorHAnsi"/>
              </w:rPr>
              <w:tab/>
              <w:t>a minőségügy fogalomrendszere, logikai kapcsolatuk</w:t>
            </w:r>
          </w:p>
          <w:p w:rsidR="006B3375" w:rsidRPr="006B3375" w:rsidRDefault="006B3375" w:rsidP="006B3375">
            <w:pPr>
              <w:pStyle w:val="Kurzus-alap"/>
              <w:rPr>
                <w:rFonts w:asciiTheme="minorHAnsi" w:hAnsiTheme="minorHAnsi" w:cstheme="minorHAnsi"/>
              </w:rPr>
            </w:pPr>
            <w:r w:rsidRPr="006B3375">
              <w:rPr>
                <w:rFonts w:asciiTheme="minorHAnsi" w:hAnsiTheme="minorHAnsi" w:cstheme="minorHAnsi"/>
              </w:rPr>
              <w:t>•</w:t>
            </w:r>
            <w:r w:rsidRPr="006B3375">
              <w:rPr>
                <w:rFonts w:asciiTheme="minorHAnsi" w:hAnsiTheme="minorHAnsi" w:cstheme="minorHAnsi"/>
              </w:rPr>
              <w:tab/>
              <w:t>az ellátás minőségét befolyásoló külső és belső tényezők</w:t>
            </w:r>
          </w:p>
          <w:p w:rsidR="006B3375" w:rsidRPr="006B3375" w:rsidRDefault="006B3375" w:rsidP="006B3375">
            <w:pPr>
              <w:pStyle w:val="Kurzus-alap"/>
              <w:rPr>
                <w:rFonts w:asciiTheme="minorHAnsi" w:hAnsiTheme="minorHAnsi" w:cstheme="minorHAnsi"/>
              </w:rPr>
            </w:pPr>
            <w:r w:rsidRPr="006B3375">
              <w:rPr>
                <w:rFonts w:asciiTheme="minorHAnsi" w:hAnsiTheme="minorHAnsi" w:cstheme="minorHAnsi"/>
              </w:rPr>
              <w:t>•</w:t>
            </w:r>
            <w:r w:rsidRPr="006B3375">
              <w:rPr>
                <w:rFonts w:asciiTheme="minorHAnsi" w:hAnsiTheme="minorHAnsi" w:cstheme="minorHAnsi"/>
              </w:rPr>
              <w:tab/>
              <w:t>a nemkívánatos események lényege és természete</w:t>
            </w:r>
          </w:p>
          <w:p w:rsidR="006B3375" w:rsidRPr="006B3375" w:rsidRDefault="006B3375" w:rsidP="006B3375">
            <w:pPr>
              <w:pStyle w:val="Kurzus-alap"/>
              <w:rPr>
                <w:rFonts w:asciiTheme="minorHAnsi" w:hAnsiTheme="minorHAnsi" w:cstheme="minorHAnsi"/>
              </w:rPr>
            </w:pPr>
            <w:r w:rsidRPr="006B3375">
              <w:rPr>
                <w:rFonts w:asciiTheme="minorHAnsi" w:hAnsiTheme="minorHAnsi" w:cstheme="minorHAnsi"/>
              </w:rPr>
              <w:t>•</w:t>
            </w:r>
            <w:r w:rsidRPr="006B3375">
              <w:rPr>
                <w:rFonts w:asciiTheme="minorHAnsi" w:hAnsiTheme="minorHAnsi" w:cstheme="minorHAnsi"/>
              </w:rPr>
              <w:tab/>
              <w:t>gyökérok és gyökérok kutatás</w:t>
            </w:r>
          </w:p>
          <w:p w:rsidR="00F050C6" w:rsidRPr="006D53E6" w:rsidRDefault="006B3375" w:rsidP="006B3375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6B3375">
              <w:rPr>
                <w:rFonts w:asciiTheme="minorHAnsi" w:hAnsiTheme="minorHAnsi" w:cstheme="minorHAnsi"/>
              </w:rPr>
              <w:t>•</w:t>
            </w:r>
            <w:r w:rsidRPr="006B3375">
              <w:rPr>
                <w:rFonts w:asciiTheme="minorHAnsi" w:hAnsiTheme="minorHAnsi" w:cstheme="minorHAnsi"/>
              </w:rPr>
              <w:tab/>
              <w:t>folyamatábra és ok-hatás diagram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49" w:rsidRDefault="00C16D49">
      <w:pPr>
        <w:spacing w:after="0" w:line="240" w:lineRule="auto"/>
      </w:pPr>
      <w:r>
        <w:separator/>
      </w:r>
    </w:p>
  </w:endnote>
  <w:endnote w:type="continuationSeparator" w:id="0">
    <w:p w:rsidR="00C16D49" w:rsidRDefault="00C1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49" w:rsidRDefault="00C16D49">
      <w:pPr>
        <w:spacing w:after="0" w:line="240" w:lineRule="auto"/>
      </w:pPr>
      <w:r>
        <w:separator/>
      </w:r>
    </w:p>
  </w:footnote>
  <w:footnote w:type="continuationSeparator" w:id="0">
    <w:p w:rsidR="00C16D49" w:rsidRDefault="00C1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646A4"/>
    <w:rsid w:val="00287DC9"/>
    <w:rsid w:val="0031651D"/>
    <w:rsid w:val="003618F0"/>
    <w:rsid w:val="003B5BD6"/>
    <w:rsid w:val="005A34E4"/>
    <w:rsid w:val="00677421"/>
    <w:rsid w:val="006B3375"/>
    <w:rsid w:val="006D53E6"/>
    <w:rsid w:val="007112EA"/>
    <w:rsid w:val="0079289C"/>
    <w:rsid w:val="007F179D"/>
    <w:rsid w:val="008027BF"/>
    <w:rsid w:val="009066CC"/>
    <w:rsid w:val="00930176"/>
    <w:rsid w:val="00B12962"/>
    <w:rsid w:val="00B60CA2"/>
    <w:rsid w:val="00B6506C"/>
    <w:rsid w:val="00B84633"/>
    <w:rsid w:val="00B90DBF"/>
    <w:rsid w:val="00C16D49"/>
    <w:rsid w:val="00C25D9B"/>
    <w:rsid w:val="00D84FEF"/>
    <w:rsid w:val="00DA1BC3"/>
    <w:rsid w:val="00DC5304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2019-06-27T11:18:00Z</dcterms:created>
  <dcterms:modified xsi:type="dcterms:W3CDTF">2019-06-27T11:18:00Z</dcterms:modified>
</cp:coreProperties>
</file>