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2" w:rsidRPr="00B74E2B" w:rsidRDefault="00B52CE2" w:rsidP="00B74E2B">
      <w:pPr>
        <w:spacing w:after="120"/>
        <w:jc w:val="center"/>
        <w:rPr>
          <w:b/>
          <w:sz w:val="26"/>
          <w:szCs w:val="26"/>
        </w:rPr>
      </w:pPr>
      <w:r w:rsidRPr="00B74E2B">
        <w:rPr>
          <w:b/>
          <w:sz w:val="26"/>
          <w:szCs w:val="26"/>
        </w:rPr>
        <w:t>A Kollégiumok Főigazgatójának 2/2014. sz. határozata</w:t>
      </w:r>
    </w:p>
    <w:p w:rsidR="00B52CE2" w:rsidRPr="00B74E2B" w:rsidRDefault="00B52CE2" w:rsidP="00B52CE2">
      <w:pPr>
        <w:jc w:val="center"/>
        <w:rPr>
          <w:b/>
          <w:sz w:val="22"/>
          <w:szCs w:val="22"/>
        </w:rPr>
      </w:pPr>
      <w:r w:rsidRPr="00B74E2B">
        <w:rPr>
          <w:b/>
          <w:sz w:val="22"/>
          <w:szCs w:val="22"/>
        </w:rPr>
        <w:t xml:space="preserve">a </w:t>
      </w:r>
      <w:r w:rsidRPr="00B74E2B">
        <w:rPr>
          <w:b/>
          <w:bCs/>
          <w:color w:val="000000"/>
          <w:sz w:val="22"/>
          <w:szCs w:val="22"/>
        </w:rPr>
        <w:t>nemdohányzók védelméről és a dohánytermékek fogyasztásának, forgalmazásának egyes szabályairól szóló 1999. évi XLII. Törvény végrehajtásáról</w:t>
      </w:r>
    </w:p>
    <w:p w:rsidR="00B52CE2" w:rsidRPr="00B74E2B" w:rsidRDefault="00B52CE2" w:rsidP="00B74E2B">
      <w:pPr>
        <w:spacing w:before="120"/>
        <w:jc w:val="center"/>
        <w:rPr>
          <w:b/>
          <w:sz w:val="26"/>
          <w:szCs w:val="26"/>
        </w:rPr>
      </w:pPr>
      <w:r w:rsidRPr="00B74E2B">
        <w:rPr>
          <w:b/>
          <w:sz w:val="26"/>
          <w:szCs w:val="26"/>
        </w:rPr>
        <w:t>a Nővérszálló vonatkozásában</w:t>
      </w:r>
    </w:p>
    <w:p w:rsidR="00B52CE2" w:rsidRPr="00B74E2B" w:rsidRDefault="00B52CE2" w:rsidP="00B52CE2">
      <w:pPr>
        <w:pStyle w:val="Szvegtrzs"/>
        <w:jc w:val="both"/>
        <w:rPr>
          <w:rFonts w:ascii="Times New Roman" w:hAnsi="Times New Roman"/>
          <w:sz w:val="26"/>
          <w:szCs w:val="26"/>
        </w:rPr>
      </w:pPr>
    </w:p>
    <w:p w:rsidR="00B52CE2" w:rsidRPr="00C22B91" w:rsidRDefault="00B52CE2" w:rsidP="00B52CE2">
      <w:pPr>
        <w:pStyle w:val="NormlWeb"/>
        <w:spacing w:before="0" w:beforeAutospacing="0" w:after="320" w:afterAutospacing="0"/>
        <w:jc w:val="both"/>
        <w:rPr>
          <w:bCs/>
          <w:color w:val="000000"/>
          <w:sz w:val="22"/>
          <w:szCs w:val="22"/>
        </w:rPr>
      </w:pPr>
      <w:r w:rsidRPr="00C22B91">
        <w:rPr>
          <w:bCs/>
          <w:color w:val="000000"/>
          <w:sz w:val="22"/>
          <w:szCs w:val="22"/>
        </w:rPr>
        <w:t xml:space="preserve">A nemdohányzók védelméről és a dohánytermékek fogyasztásának, forgalmazásának egyes szabályairól szóló 1999. évi XLII. törvénynek megfelelően valamint az e tárgyban 2012. február 2.-án kiadott KORL/1/2012. számú rektori körlevél alapján a </w:t>
      </w:r>
      <w:r>
        <w:rPr>
          <w:bCs/>
          <w:color w:val="000000"/>
          <w:sz w:val="22"/>
          <w:szCs w:val="22"/>
        </w:rPr>
        <w:t>Nővérszállóra</w:t>
      </w:r>
      <w:r w:rsidRPr="00C22B91">
        <w:rPr>
          <w:bCs/>
          <w:color w:val="000000"/>
          <w:sz w:val="22"/>
          <w:szCs w:val="22"/>
        </w:rPr>
        <w:t xml:space="preserve"> vonatkozóan az alábbiakat rendelem el.</w:t>
      </w:r>
    </w:p>
    <w:p w:rsidR="00B52CE2" w:rsidRPr="00C22B91" w:rsidRDefault="00B52CE2" w:rsidP="00B52CE2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b/>
          <w:bCs/>
          <w:color w:val="000000"/>
          <w:sz w:val="22"/>
          <w:szCs w:val="22"/>
        </w:rPr>
      </w:pPr>
      <w:r w:rsidRPr="00C22B91">
        <w:rPr>
          <w:b/>
          <w:bCs/>
          <w:color w:val="000000"/>
          <w:sz w:val="22"/>
          <w:szCs w:val="22"/>
        </w:rPr>
        <w:t xml:space="preserve">A </w:t>
      </w:r>
      <w:r>
        <w:rPr>
          <w:b/>
          <w:bCs/>
          <w:color w:val="000000"/>
          <w:sz w:val="22"/>
          <w:szCs w:val="22"/>
        </w:rPr>
        <w:t>Nővérszálló épület</w:t>
      </w:r>
      <w:r w:rsidR="00B74E2B">
        <w:rPr>
          <w:b/>
          <w:bCs/>
          <w:color w:val="000000"/>
          <w:sz w:val="22"/>
          <w:szCs w:val="22"/>
        </w:rPr>
        <w:t>eiben</w:t>
      </w:r>
      <w:r>
        <w:rPr>
          <w:b/>
          <w:bCs/>
          <w:color w:val="000000"/>
          <w:sz w:val="22"/>
          <w:szCs w:val="22"/>
        </w:rPr>
        <w:t xml:space="preserve"> és az épület körfolyosóján</w:t>
      </w:r>
      <w:r w:rsidRPr="00C22B91">
        <w:rPr>
          <w:b/>
          <w:bCs/>
          <w:color w:val="000000"/>
          <w:sz w:val="22"/>
          <w:szCs w:val="22"/>
        </w:rPr>
        <w:t xml:space="preserve"> tilos a dohányzás!</w:t>
      </w:r>
    </w:p>
    <w:p w:rsidR="00B52CE2" w:rsidRPr="00C22B91" w:rsidRDefault="00B52CE2" w:rsidP="00B74E2B">
      <w:pPr>
        <w:pStyle w:val="Norm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Cs/>
          <w:color w:val="000000"/>
          <w:sz w:val="22"/>
          <w:szCs w:val="22"/>
        </w:rPr>
      </w:pPr>
      <w:r w:rsidRPr="00C22B91">
        <w:rPr>
          <w:bCs/>
          <w:color w:val="000000"/>
          <w:sz w:val="22"/>
          <w:szCs w:val="22"/>
        </w:rPr>
        <w:t xml:space="preserve">A 2012. február 2.-án kiadott KORL/1/2012. számú rektori körlevél szerint a </w:t>
      </w:r>
      <w:r>
        <w:rPr>
          <w:bCs/>
          <w:color w:val="000000"/>
          <w:sz w:val="22"/>
          <w:szCs w:val="22"/>
        </w:rPr>
        <w:t>Nővérszálló</w:t>
      </w:r>
      <w:r w:rsidRPr="00C22B91">
        <w:rPr>
          <w:bCs/>
          <w:color w:val="000000"/>
          <w:sz w:val="22"/>
          <w:szCs w:val="22"/>
        </w:rPr>
        <w:t xml:space="preserve"> nyílt (szabad) légterében kijelölhető dohányzó hely, azzal a megkötéssel, hogy nem lehet az épület bejárat</w:t>
      </w:r>
      <w:r>
        <w:rPr>
          <w:bCs/>
          <w:color w:val="000000"/>
          <w:sz w:val="22"/>
          <w:szCs w:val="22"/>
        </w:rPr>
        <w:t>aitól</w:t>
      </w:r>
      <w:r w:rsidRPr="00C22B91">
        <w:rPr>
          <w:bCs/>
          <w:color w:val="000000"/>
          <w:sz w:val="22"/>
          <w:szCs w:val="22"/>
        </w:rPr>
        <w:t xml:space="preserve"> számított 5 méteren belül. A kijelölt dohányzóhelye</w:t>
      </w:r>
      <w:r>
        <w:rPr>
          <w:bCs/>
          <w:color w:val="000000"/>
          <w:sz w:val="22"/>
          <w:szCs w:val="22"/>
        </w:rPr>
        <w:t>t táblával kell jelezni és</w:t>
      </w:r>
      <w:r w:rsidRPr="00C22B91">
        <w:rPr>
          <w:bCs/>
          <w:color w:val="000000"/>
          <w:sz w:val="22"/>
          <w:szCs w:val="22"/>
        </w:rPr>
        <w:t xml:space="preserve"> nem éghető anyagú csikktartót kell elhelyezni.</w:t>
      </w:r>
    </w:p>
    <w:p w:rsidR="00B52CE2" w:rsidRPr="00C22B91" w:rsidRDefault="00B52CE2" w:rsidP="00B74E2B">
      <w:pPr>
        <w:numPr>
          <w:ilvl w:val="0"/>
          <w:numId w:val="2"/>
        </w:numPr>
        <w:tabs>
          <w:tab w:val="left" w:pos="0"/>
        </w:tabs>
        <w:spacing w:after="120"/>
        <w:ind w:left="714" w:right="204" w:hanging="357"/>
        <w:jc w:val="both"/>
        <w:rPr>
          <w:sz w:val="22"/>
          <w:szCs w:val="22"/>
        </w:rPr>
      </w:pPr>
      <w:r w:rsidRPr="00C22B91">
        <w:rPr>
          <w:sz w:val="22"/>
          <w:szCs w:val="22"/>
        </w:rPr>
        <w:t xml:space="preserve">A dohányzásra vonatkozó szabályok megtartásának ellenőrzése első sorban a </w:t>
      </w:r>
      <w:r>
        <w:rPr>
          <w:sz w:val="22"/>
          <w:szCs w:val="22"/>
        </w:rPr>
        <w:t>g</w:t>
      </w:r>
      <w:r w:rsidRPr="00C22B91">
        <w:rPr>
          <w:sz w:val="22"/>
          <w:szCs w:val="22"/>
        </w:rPr>
        <w:t xml:space="preserve">azdasági ügyintéző feladata, ami nem merül ki a tájékoztatás megadásával. Mindezek mellett minden </w:t>
      </w:r>
      <w:r>
        <w:rPr>
          <w:sz w:val="22"/>
          <w:szCs w:val="22"/>
        </w:rPr>
        <w:t xml:space="preserve">nővérnek és </w:t>
      </w:r>
      <w:r w:rsidRPr="00C22B91">
        <w:rPr>
          <w:sz w:val="22"/>
          <w:szCs w:val="22"/>
        </w:rPr>
        <w:t>munkavállalónak felhívom a figyelmét arra, hogy észlelt szabálytalanságok esetén figyelmeztetnie kell a szabálytalankodó személyt(eket) és fel kell hívnia a figyelmüket a dohányzásra vonatkozó szabályok megtartására.</w:t>
      </w:r>
    </w:p>
    <w:p w:rsidR="00B52CE2" w:rsidRPr="00C22B91" w:rsidRDefault="00B52CE2" w:rsidP="00B52CE2">
      <w:pPr>
        <w:numPr>
          <w:ilvl w:val="0"/>
          <w:numId w:val="2"/>
        </w:numPr>
        <w:tabs>
          <w:tab w:val="left" w:pos="0"/>
        </w:tabs>
        <w:ind w:right="203"/>
        <w:jc w:val="both"/>
        <w:rPr>
          <w:sz w:val="22"/>
          <w:szCs w:val="22"/>
        </w:rPr>
      </w:pPr>
      <w:r w:rsidRPr="00C22B91">
        <w:rPr>
          <w:sz w:val="22"/>
          <w:szCs w:val="22"/>
        </w:rPr>
        <w:t xml:space="preserve">Ezen felül ellenőrzési és intézkedési jogosultsága a </w:t>
      </w:r>
    </w:p>
    <w:p w:rsidR="00B52CE2" w:rsidRPr="00B74E2B" w:rsidRDefault="00B52CE2" w:rsidP="00B74E2B">
      <w:pPr>
        <w:pStyle w:val="Listaszerbekezds"/>
        <w:numPr>
          <w:ilvl w:val="0"/>
          <w:numId w:val="5"/>
        </w:numPr>
        <w:tabs>
          <w:tab w:val="left" w:pos="0"/>
        </w:tabs>
        <w:ind w:right="203" w:hanging="11"/>
        <w:jc w:val="both"/>
        <w:rPr>
          <w:sz w:val="22"/>
          <w:szCs w:val="22"/>
        </w:rPr>
      </w:pPr>
      <w:r w:rsidRPr="00B74E2B">
        <w:rPr>
          <w:sz w:val="22"/>
          <w:szCs w:val="22"/>
        </w:rPr>
        <w:t>főigazgató</w:t>
      </w:r>
      <w:r w:rsidR="00B74E2B" w:rsidRPr="00B74E2B">
        <w:rPr>
          <w:sz w:val="22"/>
          <w:szCs w:val="22"/>
        </w:rPr>
        <w:t>nak</w:t>
      </w:r>
    </w:p>
    <w:p w:rsidR="00B52CE2" w:rsidRPr="00B74E2B" w:rsidRDefault="00B52CE2" w:rsidP="00B74E2B">
      <w:pPr>
        <w:pStyle w:val="Listaszerbekezds"/>
        <w:numPr>
          <w:ilvl w:val="0"/>
          <w:numId w:val="5"/>
        </w:numPr>
        <w:tabs>
          <w:tab w:val="left" w:pos="0"/>
        </w:tabs>
        <w:ind w:right="203" w:hanging="11"/>
        <w:jc w:val="both"/>
        <w:rPr>
          <w:sz w:val="22"/>
          <w:szCs w:val="22"/>
        </w:rPr>
      </w:pPr>
      <w:r w:rsidRPr="00B74E2B">
        <w:rPr>
          <w:sz w:val="22"/>
          <w:szCs w:val="22"/>
        </w:rPr>
        <w:t>biztonságtechnikai főelőadó</w:t>
      </w:r>
      <w:r w:rsidR="00B74E2B" w:rsidRPr="00B74E2B">
        <w:rPr>
          <w:sz w:val="22"/>
          <w:szCs w:val="22"/>
        </w:rPr>
        <w:t>nak</w:t>
      </w:r>
      <w:r w:rsidRPr="00B74E2B">
        <w:rPr>
          <w:sz w:val="22"/>
          <w:szCs w:val="22"/>
        </w:rPr>
        <w:t xml:space="preserve"> (munka-tűzvédelmi szempontok</w:t>
      </w:r>
      <w:r w:rsidR="00B74E2B" w:rsidRPr="00B74E2B">
        <w:rPr>
          <w:sz w:val="22"/>
          <w:szCs w:val="22"/>
        </w:rPr>
        <w:t xml:space="preserve"> </w:t>
      </w:r>
      <w:r w:rsidRPr="00B74E2B">
        <w:rPr>
          <w:sz w:val="22"/>
          <w:szCs w:val="22"/>
        </w:rPr>
        <w:t>szerint) van.</w:t>
      </w:r>
    </w:p>
    <w:p w:rsidR="00B74E2B" w:rsidRPr="00B74E2B" w:rsidRDefault="00B74E2B" w:rsidP="00B74E2B">
      <w:pPr>
        <w:pStyle w:val="Listaszerbekezds"/>
        <w:numPr>
          <w:ilvl w:val="0"/>
          <w:numId w:val="5"/>
        </w:numPr>
        <w:tabs>
          <w:tab w:val="left" w:pos="0"/>
        </w:tabs>
        <w:spacing w:after="120"/>
        <w:ind w:right="204" w:hanging="11"/>
        <w:jc w:val="both"/>
        <w:rPr>
          <w:sz w:val="22"/>
          <w:szCs w:val="22"/>
        </w:rPr>
      </w:pPr>
      <w:r w:rsidRPr="00B74E2B">
        <w:rPr>
          <w:sz w:val="22"/>
          <w:szCs w:val="22"/>
        </w:rPr>
        <w:t>hatósági személyeknek (ÁNTSZ, Tűzoltóság)</w:t>
      </w:r>
    </w:p>
    <w:p w:rsidR="00B52CE2" w:rsidRPr="00C22B91" w:rsidRDefault="00B52CE2" w:rsidP="00B74E2B">
      <w:pPr>
        <w:numPr>
          <w:ilvl w:val="0"/>
          <w:numId w:val="3"/>
        </w:numPr>
        <w:tabs>
          <w:tab w:val="left" w:pos="0"/>
        </w:tabs>
        <w:spacing w:after="120"/>
        <w:ind w:left="714" w:right="204" w:hanging="357"/>
        <w:jc w:val="both"/>
        <w:rPr>
          <w:sz w:val="22"/>
          <w:szCs w:val="22"/>
        </w:rPr>
      </w:pPr>
      <w:r w:rsidRPr="00C22B91">
        <w:rPr>
          <w:sz w:val="22"/>
          <w:szCs w:val="22"/>
        </w:rPr>
        <w:t>A törvényben foglalt tilalmak és korlátozások betartását a Budapest Főváros Kormányhivatala Népegészségügyi Szakigazgatási Szerve (ÁNTSZ) ellenőrzi és jogsértés esetén egészségvédelmi bírságot szab ki. A törvénysértő dohányzó 30 000 Ft-ig terjedő helyszínen kiszabott egészségvédelmi bírsággal sújtható, amelynek 30 napon belül történő meg nem fizetése esetén a bírság 50 000 Ft-ig terjedhet. A dohányzást érintő tilalmak, korlátozások megtartására vonatkozó ellenőrzési kötelezettség elmulasztása esetén 250 000 Ft-ig terjedő bírság szabható ki az ezen kötelezettségek betartásáért felelős személy, illetve 2 500 000 Ft-ig terjedő bírság az intézmény tekintetében.</w:t>
      </w:r>
    </w:p>
    <w:p w:rsidR="00B52CE2" w:rsidRPr="00C22B91" w:rsidRDefault="00B52CE2" w:rsidP="00206132">
      <w:pPr>
        <w:numPr>
          <w:ilvl w:val="0"/>
          <w:numId w:val="3"/>
        </w:numPr>
        <w:tabs>
          <w:tab w:val="left" w:pos="0"/>
        </w:tabs>
        <w:spacing w:after="120"/>
        <w:ind w:left="714" w:right="204" w:hanging="357"/>
        <w:jc w:val="both"/>
        <w:rPr>
          <w:sz w:val="22"/>
          <w:szCs w:val="22"/>
        </w:rPr>
      </w:pPr>
      <w:r w:rsidRPr="00C22B91">
        <w:rPr>
          <w:sz w:val="22"/>
          <w:szCs w:val="22"/>
        </w:rPr>
        <w:t xml:space="preserve">Felhívom figyelmüket arra, hogy jelen </w:t>
      </w:r>
      <w:r w:rsidR="00B74E2B">
        <w:rPr>
          <w:sz w:val="22"/>
          <w:szCs w:val="22"/>
        </w:rPr>
        <w:t>határozat</w:t>
      </w:r>
      <w:r w:rsidRPr="00C22B91">
        <w:rPr>
          <w:sz w:val="22"/>
          <w:szCs w:val="22"/>
        </w:rPr>
        <w:t xml:space="preserve"> rendelkezéseit, az épületet bármilyen jogcímen használó (lakó, munkavállaló, külsős munkavállaló, vendég, stb.) köteles betartani. Az épületben bérleti jogviszony keretében helyiséget használó szerződéses partnerek érdekkörükhöz tartozó személyek magatartásáért, cselekményeiért és annak ellenőrzéséért a szerződésekben foglaltak szerint felelnek. </w:t>
      </w:r>
    </w:p>
    <w:p w:rsidR="00B52CE2" w:rsidRPr="00C22B91" w:rsidRDefault="00B52CE2" w:rsidP="00B52CE2">
      <w:pPr>
        <w:numPr>
          <w:ilvl w:val="0"/>
          <w:numId w:val="3"/>
        </w:numPr>
        <w:tabs>
          <w:tab w:val="left" w:pos="0"/>
        </w:tabs>
        <w:ind w:right="204"/>
        <w:jc w:val="both"/>
        <w:rPr>
          <w:sz w:val="22"/>
          <w:szCs w:val="22"/>
        </w:rPr>
      </w:pPr>
      <w:r w:rsidRPr="00C22B91">
        <w:rPr>
          <w:sz w:val="22"/>
          <w:szCs w:val="22"/>
        </w:rPr>
        <w:t xml:space="preserve">Továbbá felhívom a figyelmüket arra, hogy amennyiben a törvény által szabályozott dohányzási tilalmakat megszegő személy magatartásával összefüggésben az Egyetemnek kára keletkezik, az érintett személy Egyetemmel szembeni kártérítési felelőssége megállapításának lehet helye a vonatkozó jogszabályok alapján.    </w:t>
      </w:r>
    </w:p>
    <w:p w:rsidR="00B52CE2" w:rsidRPr="00C22B91" w:rsidRDefault="00B52CE2" w:rsidP="00B52CE2">
      <w:pPr>
        <w:pStyle w:val="Norm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B52CE2" w:rsidRPr="00C22B91" w:rsidRDefault="00B52CE2" w:rsidP="00B52CE2">
      <w:pPr>
        <w:pStyle w:val="NormlWeb"/>
        <w:spacing w:before="0" w:beforeAutospacing="0" w:after="320" w:afterAutospacing="0"/>
        <w:jc w:val="both"/>
        <w:rPr>
          <w:bCs/>
          <w:color w:val="000000"/>
          <w:sz w:val="22"/>
          <w:szCs w:val="22"/>
        </w:rPr>
      </w:pPr>
      <w:r w:rsidRPr="00C22B91">
        <w:rPr>
          <w:bCs/>
          <w:color w:val="000000"/>
          <w:sz w:val="22"/>
          <w:szCs w:val="22"/>
        </w:rPr>
        <w:t xml:space="preserve">Budapest, </w:t>
      </w:r>
      <w:r w:rsidR="00206132">
        <w:rPr>
          <w:bCs/>
          <w:color w:val="000000"/>
          <w:sz w:val="22"/>
          <w:szCs w:val="22"/>
        </w:rPr>
        <w:t xml:space="preserve">2014. január </w:t>
      </w:r>
      <w:r w:rsidR="00EF5A0A">
        <w:rPr>
          <w:bCs/>
          <w:color w:val="000000"/>
          <w:sz w:val="22"/>
          <w:szCs w:val="22"/>
        </w:rPr>
        <w:t>20</w:t>
      </w:r>
      <w:r w:rsidR="00206132">
        <w:rPr>
          <w:bCs/>
          <w:color w:val="000000"/>
          <w:sz w:val="22"/>
          <w:szCs w:val="22"/>
        </w:rPr>
        <w:t>.</w:t>
      </w:r>
    </w:p>
    <w:p w:rsidR="00206132" w:rsidRDefault="00B52CE2" w:rsidP="00B52CE2">
      <w:pPr>
        <w:pStyle w:val="Norm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</w:p>
    <w:p w:rsidR="00B52CE2" w:rsidRPr="00C22B91" w:rsidRDefault="00B52CE2" w:rsidP="00206132">
      <w:pPr>
        <w:pStyle w:val="NormlWeb"/>
        <w:spacing w:before="0" w:beforeAutospacing="0" w:after="0" w:afterAutospacing="0"/>
        <w:ind w:left="5664" w:firstLine="708"/>
        <w:jc w:val="both"/>
        <w:rPr>
          <w:bCs/>
          <w:color w:val="000000"/>
          <w:sz w:val="22"/>
          <w:szCs w:val="22"/>
        </w:rPr>
      </w:pPr>
      <w:r w:rsidRPr="00C22B91">
        <w:rPr>
          <w:bCs/>
          <w:color w:val="000000"/>
          <w:sz w:val="22"/>
          <w:szCs w:val="22"/>
        </w:rPr>
        <w:t>Dr. Godó Ferenc</w:t>
      </w:r>
    </w:p>
    <w:p w:rsidR="00B52CE2" w:rsidRPr="00A273D1" w:rsidRDefault="00B52CE2" w:rsidP="00206132">
      <w:pPr>
        <w:pStyle w:val="NormlWeb"/>
        <w:spacing w:before="0" w:beforeAutospacing="0" w:after="0" w:afterAutospacing="0"/>
        <w:jc w:val="both"/>
      </w:pP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</w:r>
      <w:r w:rsidRPr="00C22B91">
        <w:rPr>
          <w:bCs/>
          <w:color w:val="000000"/>
          <w:sz w:val="22"/>
          <w:szCs w:val="22"/>
        </w:rPr>
        <w:tab/>
        <w:t xml:space="preserve">    </w:t>
      </w:r>
      <w:r w:rsidR="00206132">
        <w:rPr>
          <w:bCs/>
          <w:color w:val="000000"/>
          <w:sz w:val="22"/>
          <w:szCs w:val="22"/>
        </w:rPr>
        <w:t>f</w:t>
      </w:r>
      <w:r w:rsidRPr="00C22B91">
        <w:rPr>
          <w:bCs/>
          <w:color w:val="000000"/>
          <w:sz w:val="22"/>
          <w:szCs w:val="22"/>
        </w:rPr>
        <w:t>őigazgató</w:t>
      </w:r>
    </w:p>
    <w:p w:rsidR="00721A47" w:rsidRDefault="00721A47" w:rsidP="000F42D3">
      <w:pPr>
        <w:spacing w:before="120" w:after="144"/>
      </w:pPr>
    </w:p>
    <w:sectPr w:rsidR="00721A47" w:rsidSect="00E06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4" w:right="1417" w:bottom="1258" w:left="1417" w:header="719" w:footer="30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91" w:rsidRDefault="00A34091" w:rsidP="00DD312F">
      <w:r>
        <w:separator/>
      </w:r>
    </w:p>
  </w:endnote>
  <w:endnote w:type="continuationSeparator" w:id="1">
    <w:p w:rsidR="00A34091" w:rsidRDefault="00A34091" w:rsidP="00DD3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2F" w:rsidRDefault="00DD312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F4" w:rsidRDefault="00A34091">
    <w:pPr>
      <w:pStyle w:val="llb"/>
      <w:jc w:val="center"/>
      <w:rPr>
        <w:rStyle w:val="Oldalszm"/>
      </w:rPr>
    </w:pPr>
  </w:p>
  <w:p w:rsidR="006860F4" w:rsidRDefault="00714B9C">
    <w:pPr>
      <w:pStyle w:val="llb"/>
      <w:jc w:val="center"/>
    </w:pPr>
    <w:r>
      <w:rPr>
        <w:rStyle w:val="Oldalszm"/>
      </w:rPr>
      <w:fldChar w:fldCharType="begin"/>
    </w:r>
    <w:r w:rsidR="00DD312F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F5A0A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2F" w:rsidRDefault="00DD312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91" w:rsidRDefault="00A34091" w:rsidP="00DD312F">
      <w:r>
        <w:separator/>
      </w:r>
    </w:p>
  </w:footnote>
  <w:footnote w:type="continuationSeparator" w:id="1">
    <w:p w:rsidR="00A34091" w:rsidRDefault="00A34091" w:rsidP="00DD3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2F" w:rsidRDefault="00DD312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F4" w:rsidRDefault="00DD312F" w:rsidP="00DD312F">
    <w:pPr>
      <w:spacing w:after="120"/>
      <w:jc w:val="center"/>
      <w:rPr>
        <w:b/>
        <w:i/>
        <w:iCs/>
        <w:sz w:val="18"/>
      </w:rPr>
    </w:pPr>
    <w:r w:rsidRPr="00DD312F">
      <w:rPr>
        <w:b/>
        <w:i/>
        <w:sz w:val="18"/>
        <w:szCs w:val="18"/>
      </w:rPr>
      <w:t>A Kollégiumok Főigazgatójának 2/2014. sz. határozata</w:t>
    </w:r>
    <w:r>
      <w:rPr>
        <w:b/>
        <w:i/>
        <w:sz w:val="18"/>
        <w:szCs w:val="18"/>
      </w:rPr>
      <w:t xml:space="preserve"> a</w:t>
    </w:r>
    <w:r w:rsidRPr="00DD312F">
      <w:rPr>
        <w:b/>
        <w:i/>
        <w:sz w:val="18"/>
        <w:szCs w:val="18"/>
      </w:rPr>
      <w:t xml:space="preserve"> </w:t>
    </w:r>
    <w:r w:rsidRPr="00DD312F">
      <w:rPr>
        <w:b/>
        <w:bCs/>
        <w:i/>
        <w:color w:val="000000"/>
        <w:sz w:val="18"/>
        <w:szCs w:val="18"/>
      </w:rPr>
      <w:t>nemdohányzók védelméről és a dohánytermékek fogyasztásának, forgalmazásának egyes szabályairól szóló 1999. évi XLII. Törvény végrehajtásáról</w:t>
    </w:r>
    <w:r>
      <w:rPr>
        <w:b/>
        <w:bCs/>
        <w:i/>
        <w:color w:val="000000"/>
        <w:sz w:val="18"/>
        <w:szCs w:val="18"/>
      </w:rPr>
      <w:t xml:space="preserve"> </w:t>
    </w:r>
    <w:r w:rsidRPr="00DD312F">
      <w:rPr>
        <w:b/>
        <w:i/>
        <w:sz w:val="18"/>
        <w:szCs w:val="18"/>
      </w:rPr>
      <w:t>a Nővérszálló vonatkozásában</w:t>
    </w:r>
  </w:p>
  <w:p w:rsidR="006860F4" w:rsidRDefault="00A34091">
    <w:pPr>
      <w:pBdr>
        <w:bottom w:val="single" w:sz="4" w:space="1" w:color="auto"/>
      </w:pBdr>
      <w:jc w:val="center"/>
      <w:rPr>
        <w:b/>
        <w:i/>
        <w:iCs/>
        <w:sz w:val="18"/>
      </w:rPr>
    </w:pPr>
  </w:p>
  <w:p w:rsidR="006860F4" w:rsidRDefault="00A34091" w:rsidP="001445F2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2F" w:rsidRDefault="00DD312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975"/>
    <w:multiLevelType w:val="hybridMultilevel"/>
    <w:tmpl w:val="88E414AE"/>
    <w:lvl w:ilvl="0" w:tplc="51C0CBE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B07"/>
    <w:multiLevelType w:val="hybridMultilevel"/>
    <w:tmpl w:val="F1780D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41E7E">
      <w:start w:val="1"/>
      <w:numFmt w:val="bullet"/>
      <w:lvlText w:val=""/>
      <w:lvlJc w:val="left"/>
      <w:pPr>
        <w:tabs>
          <w:tab w:val="num" w:pos="3132"/>
        </w:tabs>
        <w:ind w:left="1332" w:hanging="252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A3F65"/>
    <w:multiLevelType w:val="hybridMultilevel"/>
    <w:tmpl w:val="9A94BF9E"/>
    <w:lvl w:ilvl="0" w:tplc="A232EC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E328BB"/>
    <w:multiLevelType w:val="hybridMultilevel"/>
    <w:tmpl w:val="9B6C2534"/>
    <w:lvl w:ilvl="0" w:tplc="25E8A0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B0674"/>
    <w:multiLevelType w:val="hybridMultilevel"/>
    <w:tmpl w:val="1A186AF0"/>
    <w:lvl w:ilvl="0" w:tplc="51C0CBE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E2"/>
    <w:rsid w:val="000F42D3"/>
    <w:rsid w:val="00206132"/>
    <w:rsid w:val="003E2028"/>
    <w:rsid w:val="00714B9C"/>
    <w:rsid w:val="00721A47"/>
    <w:rsid w:val="00A34091"/>
    <w:rsid w:val="00B52CE2"/>
    <w:rsid w:val="00B74E2B"/>
    <w:rsid w:val="00DD312F"/>
    <w:rsid w:val="00E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Lines="5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2CE2"/>
    <w:pPr>
      <w:spacing w:beforeLines="0" w:afterLines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CE2"/>
    <w:pPr>
      <w:spacing w:after="120"/>
    </w:pPr>
    <w:rPr>
      <w:rFonts w:ascii="HTimes" w:hAnsi="HTimes"/>
      <w:szCs w:val="20"/>
    </w:rPr>
  </w:style>
  <w:style w:type="character" w:customStyle="1" w:styleId="SzvegtrzsChar">
    <w:name w:val="Szövegtörzs Char"/>
    <w:basedOn w:val="Bekezdsalapbettpusa"/>
    <w:link w:val="Szvegtrzs"/>
    <w:rsid w:val="00B52CE2"/>
    <w:rPr>
      <w:rFonts w:ascii="HTimes" w:eastAsia="Times New Roman" w:hAnsi="HTimes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B52CE2"/>
    <w:pPr>
      <w:tabs>
        <w:tab w:val="center" w:pos="4536"/>
        <w:tab w:val="right" w:pos="9072"/>
      </w:tabs>
    </w:pPr>
    <w:rPr>
      <w:rFonts w:ascii="HTimes" w:hAnsi="HTimes"/>
      <w:szCs w:val="20"/>
    </w:rPr>
  </w:style>
  <w:style w:type="character" w:customStyle="1" w:styleId="lfejChar">
    <w:name w:val="Élőfej Char"/>
    <w:basedOn w:val="Bekezdsalapbettpusa"/>
    <w:link w:val="lfej"/>
    <w:rsid w:val="00B52CE2"/>
    <w:rPr>
      <w:rFonts w:ascii="HTimes" w:eastAsia="Times New Roman" w:hAnsi="HTimes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B52CE2"/>
    <w:pPr>
      <w:tabs>
        <w:tab w:val="center" w:pos="4536"/>
        <w:tab w:val="right" w:pos="9072"/>
      </w:tabs>
    </w:pPr>
    <w:rPr>
      <w:rFonts w:ascii="HTimes" w:hAnsi="HTimes"/>
      <w:szCs w:val="20"/>
    </w:rPr>
  </w:style>
  <w:style w:type="character" w:customStyle="1" w:styleId="llbChar">
    <w:name w:val="Élőláb Char"/>
    <w:basedOn w:val="Bekezdsalapbettpusa"/>
    <w:link w:val="llb"/>
    <w:rsid w:val="00B52CE2"/>
    <w:rPr>
      <w:rFonts w:ascii="HTimes" w:eastAsia="Times New Roman" w:hAnsi="HTimes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B52CE2"/>
  </w:style>
  <w:style w:type="paragraph" w:styleId="NormlWeb">
    <w:name w:val="Normal (Web)"/>
    <w:basedOn w:val="Norml"/>
    <w:rsid w:val="00B52CE2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74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 Kollégiumok Főigazgatósága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</dc:creator>
  <cp:keywords/>
  <dc:description/>
  <cp:lastModifiedBy>dr. Godó Ferenc</cp:lastModifiedBy>
  <cp:revision>2</cp:revision>
  <dcterms:created xsi:type="dcterms:W3CDTF">2014-01-16T14:09:00Z</dcterms:created>
  <dcterms:modified xsi:type="dcterms:W3CDTF">2014-01-16T14:09:00Z</dcterms:modified>
</cp:coreProperties>
</file>