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1265"/>
        <w:gridCol w:w="1080"/>
        <w:gridCol w:w="1260"/>
        <w:gridCol w:w="514"/>
        <w:gridCol w:w="334"/>
        <w:gridCol w:w="766"/>
        <w:gridCol w:w="2158"/>
        <w:gridCol w:w="1479"/>
      </w:tblGrid>
      <w:tr w:rsidR="00402579">
        <w:trPr>
          <w:trHeight w:val="918"/>
        </w:trPr>
        <w:tc>
          <w:tcPr>
            <w:tcW w:w="10092" w:type="dxa"/>
            <w:gridSpan w:val="9"/>
          </w:tcPr>
          <w:p w:rsidR="00402579" w:rsidRDefault="00402579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402579" w:rsidRDefault="00FF312F">
            <w:pPr>
              <w:pStyle w:val="TableParagraph"/>
              <w:ind w:left="3417" w:right="34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2018/2019. TANÉVBEN ÉRVÉNYES TANTÁRGYI PROGRAM</w:t>
            </w:r>
          </w:p>
        </w:tc>
      </w:tr>
      <w:tr w:rsidR="00402579">
        <w:trPr>
          <w:trHeight w:val="230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Tantárgy teljes neve: </w:t>
            </w:r>
            <w:r w:rsidRPr="000754E7">
              <w:rPr>
                <w:b/>
                <w:sz w:val="20"/>
              </w:rPr>
              <w:t>Népegészségtan</w:t>
            </w:r>
          </w:p>
        </w:tc>
      </w:tr>
      <w:tr w:rsidR="00402579">
        <w:trPr>
          <w:trHeight w:val="230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Képzés: </w:t>
            </w:r>
            <w:r w:rsidR="00D97B29">
              <w:rPr>
                <w:sz w:val="20"/>
              </w:rPr>
              <w:t>egységes, osztatlan</w:t>
            </w:r>
          </w:p>
        </w:tc>
      </w:tr>
      <w:tr w:rsidR="00402579">
        <w:trPr>
          <w:trHeight w:val="230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Munkarend: </w:t>
            </w:r>
            <w:r>
              <w:rPr>
                <w:sz w:val="20"/>
              </w:rPr>
              <w:t>nappali</w:t>
            </w:r>
          </w:p>
        </w:tc>
      </w:tr>
      <w:tr w:rsidR="00402579">
        <w:trPr>
          <w:trHeight w:val="230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Tantárgy rövidített neve:</w:t>
            </w:r>
          </w:p>
        </w:tc>
      </w:tr>
      <w:tr w:rsidR="00402579">
        <w:trPr>
          <w:trHeight w:val="230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Tantárgy angol neve: </w:t>
            </w:r>
            <w:r>
              <w:rPr>
                <w:sz w:val="20"/>
              </w:rPr>
              <w:t>Public Health</w:t>
            </w:r>
          </w:p>
        </w:tc>
      </w:tr>
      <w:tr w:rsidR="00402579">
        <w:trPr>
          <w:trHeight w:val="230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Tantárgy neptun kódja: </w:t>
            </w:r>
            <w:r w:rsidR="000754E7">
              <w:rPr>
                <w:sz w:val="20"/>
              </w:rPr>
              <w:t xml:space="preserve">GYNEINETE1M (elmélet) GYNEINETG1M </w:t>
            </w:r>
            <w:r>
              <w:rPr>
                <w:sz w:val="20"/>
              </w:rPr>
              <w:t>(gyakorlat)</w:t>
            </w:r>
          </w:p>
        </w:tc>
      </w:tr>
      <w:tr w:rsidR="000754E7">
        <w:trPr>
          <w:trHeight w:val="230"/>
        </w:trPr>
        <w:tc>
          <w:tcPr>
            <w:tcW w:w="10092" w:type="dxa"/>
            <w:gridSpan w:val="9"/>
          </w:tcPr>
          <w:p w:rsidR="000754E7" w:rsidRPr="000754E7" w:rsidRDefault="000754E7" w:rsidP="000754E7">
            <w:pPr>
              <w:pStyle w:val="TableParagraph"/>
              <w:rPr>
                <w:sz w:val="20"/>
                <w:szCs w:val="20"/>
              </w:rPr>
            </w:pPr>
            <w:r w:rsidRPr="000754E7">
              <w:rPr>
                <w:b/>
                <w:sz w:val="20"/>
                <w:szCs w:val="20"/>
              </w:rPr>
              <w:t>Tantárgy besorolása</w:t>
            </w:r>
            <w:r w:rsidRPr="000754E7">
              <w:rPr>
                <w:sz w:val="20"/>
                <w:szCs w:val="20"/>
              </w:rPr>
              <w:t xml:space="preserve">: kötelező </w:t>
            </w:r>
          </w:p>
        </w:tc>
      </w:tr>
      <w:tr w:rsidR="00402579">
        <w:trPr>
          <w:trHeight w:val="230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A tantárgy oktatásáért felelős szervezeti egység: </w:t>
            </w:r>
            <w:r>
              <w:rPr>
                <w:sz w:val="20"/>
              </w:rPr>
              <w:t>SE, ÁOK, Népegészségtani Intézet</w:t>
            </w:r>
          </w:p>
        </w:tc>
      </w:tr>
      <w:tr w:rsidR="00402579">
        <w:trPr>
          <w:trHeight w:val="918"/>
        </w:trPr>
        <w:tc>
          <w:tcPr>
            <w:tcW w:w="5355" w:type="dxa"/>
            <w:gridSpan w:val="5"/>
          </w:tcPr>
          <w:p w:rsidR="00402579" w:rsidRDefault="00FF312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A tantárgyfelelős neve: </w:t>
            </w:r>
            <w:r>
              <w:rPr>
                <w:sz w:val="20"/>
              </w:rPr>
              <w:t>Dr. Horváth Ildikó egyetemi tanár</w:t>
            </w:r>
          </w:p>
          <w:p w:rsidR="00402579" w:rsidRDefault="00FF312F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 xml:space="preserve">Elérhetőség: </w:t>
            </w:r>
            <w:r>
              <w:rPr>
                <w:sz w:val="20"/>
              </w:rPr>
              <w:t>1089 Budapest, Nagyvárad tér 4. 13. em.</w:t>
            </w:r>
          </w:p>
          <w:p w:rsidR="00402579" w:rsidRDefault="00FF312F">
            <w:pPr>
              <w:pStyle w:val="TableParagraph"/>
              <w:spacing w:before="1"/>
              <w:ind w:left="258"/>
              <w:rPr>
                <w:sz w:val="20"/>
              </w:rPr>
            </w:pPr>
            <w:r>
              <w:rPr>
                <w:b/>
                <w:sz w:val="20"/>
              </w:rPr>
              <w:t xml:space="preserve">- telefon: </w:t>
            </w:r>
            <w:r>
              <w:rPr>
                <w:sz w:val="20"/>
              </w:rPr>
              <w:t>210-2954</w:t>
            </w:r>
          </w:p>
          <w:p w:rsidR="00402579" w:rsidRDefault="00FF312F">
            <w:pPr>
              <w:pStyle w:val="TableParagraph"/>
              <w:spacing w:line="219" w:lineRule="exact"/>
              <w:ind w:left="258"/>
              <w:rPr>
                <w:sz w:val="20"/>
              </w:rPr>
            </w:pPr>
            <w:r>
              <w:rPr>
                <w:b/>
                <w:sz w:val="20"/>
              </w:rPr>
              <w:t xml:space="preserve">- e-mail: </w:t>
            </w:r>
            <w:hyperlink r:id="rId7">
              <w:r>
                <w:rPr>
                  <w:sz w:val="20"/>
                </w:rPr>
                <w:t>kissne_horvath.ildiko@med.semmelweis-univ.hu</w:t>
              </w:r>
            </w:hyperlink>
          </w:p>
        </w:tc>
        <w:tc>
          <w:tcPr>
            <w:tcW w:w="4737" w:type="dxa"/>
            <w:gridSpan w:val="4"/>
          </w:tcPr>
          <w:p w:rsidR="00402579" w:rsidRDefault="00FF312F">
            <w:pPr>
              <w:pStyle w:val="TableParagraph"/>
              <w:ind w:right="306"/>
              <w:rPr>
                <w:sz w:val="20"/>
              </w:rPr>
            </w:pPr>
            <w:r>
              <w:rPr>
                <w:b/>
                <w:sz w:val="20"/>
              </w:rPr>
              <w:t xml:space="preserve">Beosztás, tudományos fokozat: </w:t>
            </w:r>
            <w:r>
              <w:rPr>
                <w:sz w:val="20"/>
              </w:rPr>
              <w:t>mb. intézetigazgató, egyetemi tanár, DSc</w:t>
            </w:r>
          </w:p>
        </w:tc>
      </w:tr>
      <w:tr w:rsidR="00402579">
        <w:trPr>
          <w:trHeight w:val="3911"/>
        </w:trPr>
        <w:tc>
          <w:tcPr>
            <w:tcW w:w="5355" w:type="dxa"/>
            <w:gridSpan w:val="5"/>
          </w:tcPr>
          <w:p w:rsidR="00402579" w:rsidRDefault="00FF312F">
            <w:pPr>
              <w:pStyle w:val="TableParagraph"/>
              <w:spacing w:line="237" w:lineRule="auto"/>
              <w:ind w:right="1407"/>
              <w:rPr>
                <w:b/>
                <w:sz w:val="20"/>
              </w:rPr>
            </w:pPr>
            <w:r>
              <w:rPr>
                <w:b/>
                <w:sz w:val="20"/>
              </w:rPr>
              <w:t>A tantárgy oktatásában résztvevő(k) neve(i): (elmélet/gyakorlat)</w:t>
            </w:r>
          </w:p>
          <w:p w:rsidR="00402579" w:rsidRDefault="00FF312F">
            <w:pPr>
              <w:pStyle w:val="TableParagraph"/>
              <w:ind w:right="2507"/>
              <w:rPr>
                <w:sz w:val="20"/>
              </w:rPr>
            </w:pPr>
            <w:r>
              <w:rPr>
                <w:sz w:val="20"/>
              </w:rPr>
              <w:t>Prof. Dr. Horváth Ildikó (elmélet) Prof. Dr. Cseh Károly (elmélet) Prof. Dr. Tompa Anna (elmélet) Dr. Jakabfi Péter (elmélet)</w:t>
            </w:r>
          </w:p>
          <w:p w:rsidR="00402579" w:rsidRDefault="00FF312F">
            <w:pPr>
              <w:pStyle w:val="TableParagraph"/>
              <w:ind w:right="3141"/>
              <w:rPr>
                <w:sz w:val="20"/>
              </w:rPr>
            </w:pPr>
            <w:r>
              <w:rPr>
                <w:sz w:val="20"/>
              </w:rPr>
              <w:t>Dr. Balázs Péter (elmélet) Dr. Forrai Judit (elmélet)</w:t>
            </w:r>
          </w:p>
          <w:p w:rsidR="00402579" w:rsidRDefault="00FF312F">
            <w:pPr>
              <w:pStyle w:val="TableParagraph"/>
              <w:ind w:right="1902"/>
              <w:rPr>
                <w:sz w:val="20"/>
              </w:rPr>
            </w:pPr>
            <w:r>
              <w:rPr>
                <w:sz w:val="20"/>
              </w:rPr>
              <w:t>Dr. Terebessy András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(elmélet/gyakorlat) Dr. Csépe Péter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(elmélet/gyakorlat)</w:t>
            </w:r>
          </w:p>
          <w:p w:rsidR="00402579" w:rsidRDefault="00FF312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Dr. Sima Ágnes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(elmélet/gyakorlat)</w:t>
            </w:r>
          </w:p>
          <w:p w:rsidR="00402579" w:rsidRDefault="00FF312F">
            <w:pPr>
              <w:pStyle w:val="TableParagraph"/>
              <w:ind w:right="1885"/>
              <w:rPr>
                <w:sz w:val="20"/>
              </w:rPr>
            </w:pPr>
            <w:r>
              <w:rPr>
                <w:sz w:val="20"/>
              </w:rPr>
              <w:t>Dr. Alliquander Anna (elmélet/gyakorlat) Dr. Fehér Ágnes (elmélet/gyakorlat)</w:t>
            </w:r>
          </w:p>
          <w:p w:rsidR="00402579" w:rsidRDefault="00FF312F">
            <w:pPr>
              <w:pStyle w:val="TableParagraph"/>
              <w:spacing w:line="230" w:lineRule="exact"/>
              <w:ind w:right="2074"/>
              <w:rPr>
                <w:sz w:val="20"/>
              </w:rPr>
            </w:pPr>
            <w:r>
              <w:rPr>
                <w:sz w:val="20"/>
              </w:rPr>
              <w:t>Dr. Horváth Ferenc (elmélet/gyakorlat) Dr. Janik Leonárd (elmélet/gyakorlat) Dr. Pongor Vince (elmélet/gyakorlat) Dr. Fekete Mónika (elmélet/gyakorlat)</w:t>
            </w:r>
          </w:p>
        </w:tc>
        <w:tc>
          <w:tcPr>
            <w:tcW w:w="4737" w:type="dxa"/>
            <w:gridSpan w:val="4"/>
          </w:tcPr>
          <w:p w:rsidR="00402579" w:rsidRDefault="00FF312F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Beosztás, tudományos fokozat:</w:t>
            </w:r>
          </w:p>
          <w:p w:rsidR="00402579" w:rsidRDefault="00402579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402579" w:rsidRDefault="00FF312F">
            <w:pPr>
              <w:pStyle w:val="TableParagraph"/>
              <w:ind w:right="2106"/>
              <w:rPr>
                <w:sz w:val="20"/>
              </w:rPr>
            </w:pPr>
            <w:r>
              <w:rPr>
                <w:sz w:val="20"/>
              </w:rPr>
              <w:t>intézetigazgató, egyetemi tanár egyetemi tanár, DSc</w:t>
            </w:r>
          </w:p>
          <w:p w:rsidR="00402579" w:rsidRDefault="00FF312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professor emerita, DSc</w:t>
            </w:r>
          </w:p>
          <w:p w:rsidR="00402579" w:rsidRDefault="00FF312F">
            <w:pPr>
              <w:pStyle w:val="TableParagraph"/>
              <w:ind w:right="496"/>
              <w:rPr>
                <w:sz w:val="20"/>
              </w:rPr>
            </w:pPr>
            <w:r>
              <w:rPr>
                <w:sz w:val="20"/>
              </w:rPr>
              <w:t>intézetigazgató helyettes, egyetemi docens, CSc szerződéses oktató, főiskolai tanár, PhD szerződéses oktató, DSc</w:t>
            </w:r>
          </w:p>
          <w:p w:rsidR="00402579" w:rsidRDefault="00FF312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adjunktus, PhD</w:t>
            </w:r>
          </w:p>
          <w:p w:rsidR="00402579" w:rsidRDefault="00FF312F">
            <w:pPr>
              <w:pStyle w:val="TableParagraph"/>
              <w:spacing w:before="1"/>
              <w:ind w:right="2295"/>
              <w:rPr>
                <w:sz w:val="20"/>
              </w:rPr>
            </w:pPr>
            <w:r>
              <w:rPr>
                <w:sz w:val="20"/>
              </w:rPr>
              <w:t>tudományos munkatárs,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PhD tudományos munkatárs tanársegéd</w:t>
            </w:r>
          </w:p>
          <w:p w:rsidR="00402579" w:rsidRDefault="00FF312F">
            <w:pPr>
              <w:pStyle w:val="TableParagraph"/>
              <w:spacing w:before="1"/>
              <w:ind w:right="3764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tanársegéd tanársegéd tanársegéd tanársegéd</w:t>
            </w:r>
          </w:p>
          <w:p w:rsidR="00402579" w:rsidRDefault="00FF312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klinikai orvos</w:t>
            </w:r>
          </w:p>
        </w:tc>
      </w:tr>
      <w:tr w:rsidR="00402579">
        <w:trPr>
          <w:trHeight w:val="602"/>
        </w:trPr>
        <w:tc>
          <w:tcPr>
            <w:tcW w:w="5355" w:type="dxa"/>
            <w:gridSpan w:val="5"/>
          </w:tcPr>
          <w:p w:rsidR="000754E7" w:rsidRDefault="00FF312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A tantárgy heti óraszáma: </w:t>
            </w:r>
            <w:r>
              <w:rPr>
                <w:sz w:val="20"/>
              </w:rPr>
              <w:t xml:space="preserve">2 </w:t>
            </w:r>
            <w:r w:rsidR="000754E7">
              <w:rPr>
                <w:sz w:val="20"/>
              </w:rPr>
              <w:t xml:space="preserve">óra </w:t>
            </w:r>
            <w:r>
              <w:rPr>
                <w:sz w:val="20"/>
              </w:rPr>
              <w:t xml:space="preserve">elmélet, </w:t>
            </w:r>
          </w:p>
          <w:p w:rsidR="00402579" w:rsidRDefault="000754E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  </w:t>
            </w:r>
            <w:r w:rsidR="00FF312F">
              <w:rPr>
                <w:sz w:val="20"/>
              </w:rPr>
              <w:t xml:space="preserve">2 </w:t>
            </w:r>
            <w:r>
              <w:rPr>
                <w:sz w:val="20"/>
              </w:rPr>
              <w:t xml:space="preserve">óra </w:t>
            </w:r>
            <w:r w:rsidR="00FF312F">
              <w:rPr>
                <w:sz w:val="20"/>
              </w:rPr>
              <w:t>gyakorlat</w:t>
            </w:r>
          </w:p>
        </w:tc>
        <w:tc>
          <w:tcPr>
            <w:tcW w:w="4737" w:type="dxa"/>
            <w:gridSpan w:val="4"/>
          </w:tcPr>
          <w:p w:rsidR="00402579" w:rsidRDefault="00FF312F">
            <w:pPr>
              <w:pStyle w:val="TableParagraph"/>
              <w:ind w:right="811"/>
              <w:rPr>
                <w:sz w:val="20"/>
              </w:rPr>
            </w:pPr>
            <w:r>
              <w:rPr>
                <w:b/>
                <w:sz w:val="20"/>
              </w:rPr>
              <w:t xml:space="preserve">A tantárgy kreditpontja: </w:t>
            </w:r>
            <w:r w:rsidR="000754E7">
              <w:rPr>
                <w:sz w:val="20"/>
              </w:rPr>
              <w:t>2 kredit elmélet</w:t>
            </w:r>
          </w:p>
          <w:p w:rsidR="000754E7" w:rsidRPr="000754E7" w:rsidRDefault="000754E7">
            <w:pPr>
              <w:pStyle w:val="TableParagraph"/>
              <w:ind w:right="811"/>
              <w:rPr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 </w:t>
            </w:r>
            <w:r w:rsidRPr="000754E7">
              <w:rPr>
                <w:sz w:val="20"/>
              </w:rPr>
              <w:t>2 kredit gyakorlat</w:t>
            </w:r>
          </w:p>
        </w:tc>
      </w:tr>
      <w:tr w:rsidR="00402579">
        <w:trPr>
          <w:trHeight w:val="1151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ind w:right="104" w:hanging="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A tantárgy feladata a képzés céljának megvalósításában: </w:t>
            </w:r>
            <w:r>
              <w:rPr>
                <w:sz w:val="20"/>
              </w:rPr>
              <w:t>A megelőzés/prevenció elméleti és gyakorlati ismereteinek és a népegészségtan módszertanának – az epidemiológiának - elsajátítása. Az egészségi állapotot befolyásoló társadalmi és környezeti tényezők ismerete. Az egészségfejlesztés alapjainak elsajátítása. Alapvető közegészségtani (talaj, levegő, víz, kémiai biztonság, sugárzás) és járványtani ismeretek átadása, különös tekintettel a védőoltásokra, infekció kontrollra. A</w:t>
            </w:r>
          </w:p>
          <w:p w:rsidR="00402579" w:rsidRDefault="00FF312F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magyar egészségügy, népegészségügy, foglalkozás-egészségügy szervezetének, felépítésének, működésének ismerete.</w:t>
            </w:r>
          </w:p>
        </w:tc>
      </w:tr>
      <w:tr w:rsidR="00402579">
        <w:trPr>
          <w:trHeight w:val="460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A tantárgy rövid leírása: </w:t>
            </w:r>
            <w:r>
              <w:rPr>
                <w:sz w:val="20"/>
              </w:rPr>
              <w:t>A tárgy a megelőzés/prevenció vezérfonalán szerveződve végigvezeti a hallgatót, hogy az</w:t>
            </w:r>
          </w:p>
          <w:p w:rsidR="00402579" w:rsidRDefault="00FF312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egészséget befolyásoló társadalmi-környezeti tényezőket és azok megelőzési lehetőségeit megismerje.</w:t>
            </w:r>
          </w:p>
        </w:tc>
      </w:tr>
      <w:tr w:rsidR="00402579">
        <w:trPr>
          <w:trHeight w:val="230"/>
        </w:trPr>
        <w:tc>
          <w:tcPr>
            <w:tcW w:w="10092" w:type="dxa"/>
            <w:gridSpan w:val="9"/>
          </w:tcPr>
          <w:p w:rsidR="00402579" w:rsidRDefault="00FF312F">
            <w:pPr>
              <w:pStyle w:val="TableParagraph"/>
              <w:spacing w:line="210" w:lineRule="exact"/>
              <w:ind w:left="332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Az adott félévi kurzusra vonatkozó adatok</w:t>
            </w:r>
          </w:p>
        </w:tc>
      </w:tr>
      <w:tr w:rsidR="00402579">
        <w:trPr>
          <w:trHeight w:val="969"/>
        </w:trPr>
        <w:tc>
          <w:tcPr>
            <w:tcW w:w="1236" w:type="dxa"/>
          </w:tcPr>
          <w:p w:rsidR="00402579" w:rsidRDefault="00FF312F">
            <w:pPr>
              <w:pStyle w:val="TableParagraph"/>
              <w:spacing w:before="115"/>
              <w:ind w:right="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Tárgyfelvétel ajánlott féléve</w:t>
            </w:r>
          </w:p>
        </w:tc>
        <w:tc>
          <w:tcPr>
            <w:tcW w:w="1265" w:type="dxa"/>
          </w:tcPr>
          <w:p w:rsidR="00402579" w:rsidRDefault="00FF312F">
            <w:pPr>
              <w:pStyle w:val="TableParagraph"/>
              <w:spacing w:before="170"/>
              <w:ind w:left="314" w:right="3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Kontakt elméleti óra</w:t>
            </w:r>
          </w:p>
        </w:tc>
        <w:tc>
          <w:tcPr>
            <w:tcW w:w="1080" w:type="dxa"/>
          </w:tcPr>
          <w:p w:rsidR="00402579" w:rsidRDefault="00FF312F">
            <w:pPr>
              <w:pStyle w:val="TableParagraph"/>
              <w:spacing w:before="170"/>
              <w:ind w:left="145" w:right="1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Kontakt gyakorlati óra</w:t>
            </w:r>
          </w:p>
        </w:tc>
        <w:tc>
          <w:tcPr>
            <w:tcW w:w="1260" w:type="dxa"/>
          </w:tcPr>
          <w:p w:rsidR="00402579" w:rsidRDefault="00FF312F">
            <w:pPr>
              <w:pStyle w:val="TableParagraph"/>
              <w:spacing w:before="67"/>
              <w:ind w:left="109" w:right="99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Kontakt demonstráció s gyakorlati óra</w:t>
            </w:r>
          </w:p>
        </w:tc>
        <w:tc>
          <w:tcPr>
            <w:tcW w:w="848" w:type="dxa"/>
            <w:gridSpan w:val="2"/>
          </w:tcPr>
          <w:p w:rsidR="00402579" w:rsidRDefault="0040257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402579" w:rsidRDefault="00FF312F">
            <w:pPr>
              <w:pStyle w:val="TableParagraph"/>
              <w:spacing w:before="1"/>
              <w:ind w:left="294" w:right="128" w:hanging="135"/>
              <w:rPr>
                <w:b/>
                <w:sz w:val="18"/>
              </w:rPr>
            </w:pPr>
            <w:r>
              <w:rPr>
                <w:b/>
                <w:sz w:val="18"/>
              </w:rPr>
              <w:t>Egyéni óra</w:t>
            </w:r>
          </w:p>
        </w:tc>
        <w:tc>
          <w:tcPr>
            <w:tcW w:w="766" w:type="dxa"/>
          </w:tcPr>
          <w:p w:rsidR="00402579" w:rsidRDefault="0040257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402579" w:rsidRDefault="00FF312F">
            <w:pPr>
              <w:pStyle w:val="TableParagraph"/>
              <w:spacing w:before="1"/>
              <w:ind w:left="253" w:right="98" w:hanging="125"/>
              <w:rPr>
                <w:b/>
                <w:sz w:val="18"/>
              </w:rPr>
            </w:pPr>
            <w:r>
              <w:rPr>
                <w:b/>
                <w:sz w:val="18"/>
              </w:rPr>
              <w:t>Összes óra</w:t>
            </w:r>
          </w:p>
        </w:tc>
        <w:tc>
          <w:tcPr>
            <w:tcW w:w="2158" w:type="dxa"/>
          </w:tcPr>
          <w:p w:rsidR="00402579" w:rsidRDefault="0040257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402579" w:rsidRDefault="00FF312F">
            <w:pPr>
              <w:pStyle w:val="TableParagraph"/>
              <w:spacing w:before="1"/>
              <w:ind w:left="612" w:right="571" w:hanging="15"/>
              <w:rPr>
                <w:b/>
                <w:sz w:val="18"/>
              </w:rPr>
            </w:pPr>
            <w:r>
              <w:rPr>
                <w:b/>
                <w:sz w:val="18"/>
              </w:rPr>
              <w:t>Meghirdetés gyakorisága</w:t>
            </w:r>
          </w:p>
        </w:tc>
        <w:tc>
          <w:tcPr>
            <w:tcW w:w="1479" w:type="dxa"/>
          </w:tcPr>
          <w:p w:rsidR="00402579" w:rsidRDefault="00402579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402579" w:rsidRDefault="00FF312F">
            <w:pPr>
              <w:pStyle w:val="TableParagraph"/>
              <w:spacing w:before="1"/>
              <w:ind w:left="492" w:right="200" w:hanging="274"/>
              <w:rPr>
                <w:b/>
                <w:sz w:val="18"/>
              </w:rPr>
            </w:pPr>
            <w:r>
              <w:rPr>
                <w:b/>
                <w:sz w:val="18"/>
              </w:rPr>
              <w:t>Konzultációk száma</w:t>
            </w:r>
          </w:p>
        </w:tc>
      </w:tr>
      <w:tr w:rsidR="00402579" w:rsidTr="000754E7">
        <w:trPr>
          <w:trHeight w:val="1058"/>
        </w:trPr>
        <w:tc>
          <w:tcPr>
            <w:tcW w:w="1236" w:type="dxa"/>
          </w:tcPr>
          <w:p w:rsidR="00402579" w:rsidRDefault="00402579">
            <w:pPr>
              <w:pStyle w:val="TableParagraph"/>
              <w:ind w:left="0"/>
            </w:pPr>
          </w:p>
          <w:p w:rsidR="00402579" w:rsidRDefault="00FF312F">
            <w:pPr>
              <w:pStyle w:val="TableParagraph"/>
              <w:spacing w:before="150"/>
              <w:rPr>
                <w:sz w:val="20"/>
              </w:rPr>
            </w:pPr>
            <w:r>
              <w:rPr>
                <w:sz w:val="20"/>
              </w:rPr>
              <w:t>8. félévtől</w:t>
            </w:r>
          </w:p>
        </w:tc>
        <w:tc>
          <w:tcPr>
            <w:tcW w:w="1265" w:type="dxa"/>
          </w:tcPr>
          <w:p w:rsidR="00402579" w:rsidRDefault="00402579">
            <w:pPr>
              <w:pStyle w:val="TableParagraph"/>
              <w:ind w:left="0"/>
            </w:pPr>
          </w:p>
          <w:p w:rsidR="00402579" w:rsidRDefault="00FF312F">
            <w:pPr>
              <w:pStyle w:val="TableParagraph"/>
              <w:spacing w:before="150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  <w:r w:rsidR="000754E7">
              <w:rPr>
                <w:w w:val="99"/>
                <w:sz w:val="20"/>
              </w:rPr>
              <w:t>8</w:t>
            </w:r>
          </w:p>
        </w:tc>
        <w:tc>
          <w:tcPr>
            <w:tcW w:w="1080" w:type="dxa"/>
          </w:tcPr>
          <w:p w:rsidR="00402579" w:rsidRDefault="00402579">
            <w:pPr>
              <w:pStyle w:val="TableParagraph"/>
              <w:ind w:left="0"/>
            </w:pPr>
          </w:p>
          <w:p w:rsidR="00402579" w:rsidRDefault="00FF312F">
            <w:pPr>
              <w:pStyle w:val="TableParagraph"/>
              <w:spacing w:before="150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  <w:r w:rsidR="000754E7">
              <w:rPr>
                <w:w w:val="99"/>
                <w:sz w:val="20"/>
              </w:rPr>
              <w:t>8</w:t>
            </w:r>
          </w:p>
        </w:tc>
        <w:tc>
          <w:tcPr>
            <w:tcW w:w="1260" w:type="dxa"/>
          </w:tcPr>
          <w:p w:rsidR="00402579" w:rsidRDefault="004025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48" w:type="dxa"/>
            <w:gridSpan w:val="2"/>
          </w:tcPr>
          <w:p w:rsidR="00402579" w:rsidRDefault="004025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66" w:type="dxa"/>
            <w:vAlign w:val="center"/>
          </w:tcPr>
          <w:p w:rsidR="00402579" w:rsidRDefault="000754E7" w:rsidP="000754E7">
            <w:pPr>
              <w:pStyle w:val="TableParagraph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2158" w:type="dxa"/>
          </w:tcPr>
          <w:p w:rsidR="00402579" w:rsidRDefault="00FF312F">
            <w:pPr>
              <w:pStyle w:val="TableParagraph"/>
              <w:ind w:left="108" w:right="29"/>
              <w:rPr>
                <w:sz w:val="20"/>
              </w:rPr>
            </w:pPr>
            <w:r>
              <w:rPr>
                <w:sz w:val="18"/>
              </w:rPr>
              <w:t>Őszi szemeszterben</w:t>
            </w:r>
            <w:r>
              <w:rPr>
                <w:sz w:val="18"/>
                <w:vertAlign w:val="superscript"/>
              </w:rPr>
              <w:t>*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Tavaszi szemeszter</w:t>
            </w:r>
            <w:r>
              <w:rPr>
                <w:sz w:val="18"/>
                <w:vertAlign w:val="superscript"/>
              </w:rPr>
              <w:t>*</w:t>
            </w:r>
            <w:r>
              <w:rPr>
                <w:sz w:val="18"/>
              </w:rPr>
              <w:t xml:space="preserve"> </w:t>
            </w:r>
            <w:r>
              <w:rPr>
                <w:sz w:val="20"/>
              </w:rPr>
              <w:t>Minkét szemeszterben</w:t>
            </w:r>
            <w:r>
              <w:rPr>
                <w:sz w:val="20"/>
                <w:vertAlign w:val="superscript"/>
              </w:rPr>
              <w:t>*</w:t>
            </w:r>
          </w:p>
          <w:p w:rsidR="00402579" w:rsidRDefault="00402579">
            <w:pPr>
              <w:pStyle w:val="TableParagraph"/>
              <w:spacing w:before="7"/>
              <w:ind w:left="0"/>
              <w:rPr>
                <w:sz w:val="17"/>
              </w:rPr>
            </w:pPr>
          </w:p>
          <w:p w:rsidR="00402579" w:rsidRDefault="00FF312F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(</w:t>
            </w:r>
            <w:r>
              <w:rPr>
                <w:b/>
                <w:sz w:val="18"/>
                <w:vertAlign w:val="superscript"/>
              </w:rPr>
              <w:t>*</w:t>
            </w:r>
            <w:r>
              <w:rPr>
                <w:b/>
                <w:sz w:val="18"/>
              </w:rPr>
              <w:t xml:space="preserve"> Megfelelő aláhúzandó)</w:t>
            </w:r>
          </w:p>
        </w:tc>
        <w:tc>
          <w:tcPr>
            <w:tcW w:w="1479" w:type="dxa"/>
          </w:tcPr>
          <w:p w:rsidR="00402579" w:rsidRDefault="00402579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02579" w:rsidRDefault="00402579">
      <w:pPr>
        <w:rPr>
          <w:sz w:val="18"/>
        </w:rPr>
        <w:sectPr w:rsidR="00402579">
          <w:type w:val="continuous"/>
          <w:pgSz w:w="11910" w:h="16840"/>
          <w:pgMar w:top="840" w:right="680" w:bottom="280" w:left="920" w:header="708" w:footer="708" w:gutter="0"/>
          <w:cols w:space="708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2"/>
      </w:tblGrid>
      <w:tr w:rsidR="00402579">
        <w:trPr>
          <w:trHeight w:val="23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10" w:lineRule="exact"/>
              <w:ind w:left="3772" w:right="376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A kurzus oktatásának időterve</w:t>
            </w:r>
          </w:p>
        </w:tc>
      </w:tr>
      <w:tr w:rsidR="00402579">
        <w:trPr>
          <w:trHeight w:val="437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Elméleti órák tematikája (heti bontásban):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1134"/>
              <w:rPr>
                <w:sz w:val="20"/>
              </w:rPr>
            </w:pPr>
            <w:r>
              <w:rPr>
                <w:sz w:val="20"/>
              </w:rPr>
              <w:t>hét: A magyar egészségügy/közegészségügy története. Az egészség fogalma, a prevenció szintjei. Az egészségfejlesztés elméleti alapjai. A népegészségügy fogalma,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működése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hét: Egészségdeterminánsok. Életmódi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tényezők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844"/>
              <w:rPr>
                <w:sz w:val="20"/>
              </w:rPr>
            </w:pPr>
            <w:r>
              <w:rPr>
                <w:sz w:val="20"/>
              </w:rPr>
              <w:t>hét: Kardiovaszkuláris betegségek epidemiológiája, megelőzése. Daganatos betegségek epidemiológiája, megelőzése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rPr>
                <w:sz w:val="20"/>
              </w:rPr>
            </w:pPr>
            <w:r>
              <w:rPr>
                <w:sz w:val="20"/>
              </w:rPr>
              <w:t>hét: Légzőszervi betegségek, anyagcsere betegségek epidemiológiája,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megelőzése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rPr>
                <w:sz w:val="20"/>
              </w:rPr>
            </w:pPr>
            <w:r>
              <w:rPr>
                <w:sz w:val="20"/>
              </w:rPr>
              <w:t>hét: Lelki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egészség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hét: Sérülékeny csoportok. Egészséges idősödés,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multimorbiditás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hét: Járványügyi helyzet.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Védőoltások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rPr>
                <w:sz w:val="20"/>
              </w:rPr>
            </w:pPr>
            <w:r>
              <w:rPr>
                <w:sz w:val="20"/>
              </w:rPr>
              <w:t>hét: Infekció kontroll. Az egészségügyi ellátással összefüggő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fertőzések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rPr>
                <w:sz w:val="20"/>
              </w:rPr>
            </w:pPr>
            <w:r>
              <w:rPr>
                <w:sz w:val="20"/>
              </w:rPr>
              <w:t>hét: Klímaváltozás. A levegő környezet-egészségügyi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hatásai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hét: A víz/talaj/sugárzások környezet-egészségügyi hatásai. Kémiai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biztonság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Foglalkozás-egészségtan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hét: Táplálék- és élelmiszer-kiegészítők.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Élelmiszerbiztonság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hét: A magyar egészségügy és közegészségügy felépítése, finanszírozása, igazgatása. Egészségpolitika</w:t>
            </w:r>
          </w:p>
          <w:p w:rsidR="00402579" w:rsidRDefault="00FF312F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Minőségbiztosítás</w:t>
            </w:r>
          </w:p>
        </w:tc>
      </w:tr>
      <w:tr w:rsidR="00402579">
        <w:trPr>
          <w:trHeight w:val="3909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Gyakorlati órák tematikája: -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hét: Bevezetés.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Demográfia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hét: Demográfia.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Standardizálás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rPr>
                <w:sz w:val="20"/>
              </w:rPr>
            </w:pPr>
            <w:r>
              <w:rPr>
                <w:sz w:val="20"/>
              </w:rPr>
              <w:t>hét: Epidemiológia: morbiditás mérése, ok-okozati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összefüggések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hét: Epidemiológiai vizsgálatok típusai: eset-kontroll, keresztmetszeti vizsgálatok, kohorsz vizsgálatok,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RCT-k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hét: Szűrővizsgálatok fogalma, típusai. Népegészségügyi (szervezett) szűrővizsgálatok. Szűrővizsgálatok értékelése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hét: DEMO. Illegális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drog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Dohányzás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Alkoholfogyasztás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Mozgás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</w:tabs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Táplálkozás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</w:tabs>
              <w:rPr>
                <w:sz w:val="20"/>
              </w:rPr>
            </w:pPr>
            <w:r>
              <w:rPr>
                <w:sz w:val="20"/>
              </w:rPr>
              <w:t>hét: Anya-, csecsemővédelem, védőnői hálózat. Gyermek és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ifjúsághigiéne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hét: Néhány kiemelt járványos betegség epidemiológiája, felügyelete,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megelőzése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DEMO</w:t>
            </w:r>
          </w:p>
          <w:p w:rsidR="00402579" w:rsidRDefault="00FF312F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</w:tabs>
              <w:rPr>
                <w:sz w:val="20"/>
              </w:rPr>
            </w:pPr>
            <w:r>
              <w:rPr>
                <w:sz w:val="20"/>
              </w:rPr>
              <w:t>hét: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Konzultáció</w:t>
            </w:r>
          </w:p>
        </w:tc>
      </w:tr>
      <w:tr w:rsidR="00402579">
        <w:trPr>
          <w:trHeight w:val="23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Konzultációk rendje: </w:t>
            </w:r>
            <w:r>
              <w:rPr>
                <w:sz w:val="20"/>
              </w:rPr>
              <w:t>előzetesen, gyakorlatvezetővel egyeztetve</w:t>
            </w:r>
          </w:p>
        </w:tc>
      </w:tr>
      <w:tr w:rsidR="00402579">
        <w:trPr>
          <w:trHeight w:val="23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10" w:lineRule="exact"/>
              <w:ind w:left="3772" w:right="376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Kurzus követelményrendszere</w:t>
            </w:r>
          </w:p>
        </w:tc>
      </w:tr>
      <w:tr w:rsidR="00402579">
        <w:trPr>
          <w:trHeight w:val="230"/>
        </w:trPr>
        <w:tc>
          <w:tcPr>
            <w:tcW w:w="10082" w:type="dxa"/>
          </w:tcPr>
          <w:p w:rsidR="000754E7" w:rsidRDefault="00FF312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A kurzus felvételének előzetes követelményei: </w:t>
            </w:r>
            <w:r w:rsidR="000754E7" w:rsidRPr="000754E7">
              <w:rPr>
                <w:sz w:val="20"/>
              </w:rPr>
              <w:t>Élettan II.</w:t>
            </w:r>
            <w:r w:rsidR="000754E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GYKIKGELE2M, </w:t>
            </w:r>
          </w:p>
          <w:p w:rsidR="00402579" w:rsidRDefault="000754E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</w:t>
            </w:r>
            <w:bookmarkStart w:id="0" w:name="_GoBack"/>
            <w:bookmarkEnd w:id="0"/>
            <w:r w:rsidRPr="000754E7">
              <w:rPr>
                <w:sz w:val="20"/>
              </w:rPr>
              <w:t>Gyógyszerészi mikrobiológia</w:t>
            </w:r>
            <w:r>
              <w:rPr>
                <w:sz w:val="20"/>
              </w:rPr>
              <w:t xml:space="preserve"> </w:t>
            </w:r>
            <w:r w:rsidR="00FF312F">
              <w:rPr>
                <w:sz w:val="20"/>
              </w:rPr>
              <w:t>GYMIKGMIE1M</w:t>
            </w:r>
          </w:p>
        </w:tc>
      </w:tr>
      <w:tr w:rsidR="00402579">
        <w:trPr>
          <w:trHeight w:val="184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37" w:lineRule="auto"/>
              <w:ind w:right="240"/>
              <w:rPr>
                <w:sz w:val="20"/>
              </w:rPr>
            </w:pPr>
            <w:r>
              <w:rPr>
                <w:b/>
                <w:sz w:val="20"/>
              </w:rPr>
              <w:t xml:space="preserve">A foglalkozásokon való részvétel követelményei, az elfogadható hiányzások mértéke, a távolmaradás igazolásának módja, pótlás lehetősége: </w:t>
            </w:r>
            <w:r>
              <w:rPr>
                <w:sz w:val="20"/>
              </w:rPr>
              <w:t>Az előadásokon és a gyakorlatokon való részvétel kötelező (ld: TVSZ 17.§ 7. pont), 3-3 hiányzás megengedett. A gyakorlat a félév során egy alkalommal az azonos heti más időpontban megtartott gyakorlaton pótolható. Az előadásokon és a gyakorlatokon 3-3 hiányzás megengedett, ezek igazolása nem szükséges.</w:t>
            </w:r>
          </w:p>
          <w:p w:rsidR="00402579" w:rsidRDefault="00FF312F">
            <w:pPr>
              <w:pStyle w:val="TableParagraph"/>
              <w:spacing w:before="1" w:line="230" w:lineRule="atLeast"/>
              <w:ind w:right="332"/>
              <w:rPr>
                <w:sz w:val="20"/>
              </w:rPr>
            </w:pPr>
            <w:r>
              <w:rPr>
                <w:sz w:val="20"/>
              </w:rPr>
              <w:t>A vizsgáról való távolmaradást három munkanapon belül igazolni kell az oktatási szervezeti egység vezetőjénél (a tárgy előadójánál). Az igazolás elmulasztása vagy az igazolás el nem fogadása esetén a leckekönyvbe, a tanszék által „nem jelent meg” bejegyzés kerül, ami az adott tárgyból a vizsgalehetőségek számát nem csökkenti, de a hallgató a térítési és juttatási szabályzatban meghatározott összeg megfizetésére köteles. (ld: TVSZ 19.§ 5. pont).</w:t>
            </w:r>
          </w:p>
        </w:tc>
      </w:tr>
      <w:tr w:rsidR="00402579">
        <w:trPr>
          <w:trHeight w:val="1149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Évközi ellenőrzés:</w:t>
            </w:r>
          </w:p>
          <w:p w:rsidR="00402579" w:rsidRDefault="00FF312F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Epidemiológiai példasor megoldása a 6.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héten</w:t>
            </w:r>
          </w:p>
          <w:p w:rsidR="00402579" w:rsidRDefault="00FF312F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7-12. hét oktatási anyagából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teszt</w:t>
            </w:r>
          </w:p>
          <w:p w:rsidR="00402579" w:rsidRDefault="00FF312F">
            <w:pPr>
              <w:pStyle w:val="TableParagraph"/>
              <w:spacing w:line="230" w:lineRule="atLeast"/>
              <w:ind w:right="582"/>
              <w:rPr>
                <w:sz w:val="20"/>
              </w:rPr>
            </w:pPr>
            <w:r>
              <w:rPr>
                <w:sz w:val="20"/>
              </w:rPr>
              <w:t>Az évközi ellenőrzések pótlására, illetve javítására a gyakorlatvezetővel egyeztetve a számonkérést követő héten van lehetőség.</w:t>
            </w:r>
          </w:p>
        </w:tc>
      </w:tr>
      <w:tr w:rsidR="00402579">
        <w:trPr>
          <w:trHeight w:val="69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félév végi aláírás követelményei:</w:t>
            </w:r>
          </w:p>
          <w:p w:rsidR="00402579" w:rsidRDefault="00FF312F">
            <w:pPr>
              <w:pStyle w:val="TableParagraph"/>
              <w:spacing w:line="230" w:lineRule="exact"/>
              <w:ind w:hanging="1"/>
              <w:rPr>
                <w:sz w:val="20"/>
              </w:rPr>
            </w:pPr>
            <w:r>
              <w:rPr>
                <w:sz w:val="20"/>
              </w:rPr>
              <w:t>Az előadásokon és a gyakorlatokon való részvétel (3-3 hiányzás a megengedett), valamint a félévközi ellenőrzéseken elérhető pontok 50%-nak megszerzése.</w:t>
            </w:r>
          </w:p>
        </w:tc>
      </w:tr>
      <w:tr w:rsidR="00402579">
        <w:trPr>
          <w:trHeight w:val="23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hallgató félév során egyéni munkával megoldandó feladatai:</w:t>
            </w:r>
          </w:p>
        </w:tc>
      </w:tr>
      <w:tr w:rsidR="00402579">
        <w:trPr>
          <w:trHeight w:val="918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félév végi számonkérés módja:</w:t>
            </w:r>
          </w:p>
          <w:p w:rsidR="00402579" w:rsidRDefault="00FF312F">
            <w:pPr>
              <w:pStyle w:val="TableParagraph"/>
              <w:spacing w:line="237" w:lineRule="auto"/>
              <w:ind w:right="159"/>
              <w:rPr>
                <w:sz w:val="20"/>
              </w:rPr>
            </w:pPr>
            <w:r>
              <w:rPr>
                <w:sz w:val="20"/>
              </w:rPr>
              <w:t>GYKOZKETG1M* (gyakorlati jegy): a félévközi ellenőrzéseken elért eredmény, a gyakorlati órákon mutatott aktivitás és a hiányzások figyelembevételével a gyakorlatvezető értékel.</w:t>
            </w:r>
          </w:p>
          <w:p w:rsidR="00402579" w:rsidRDefault="00FF312F">
            <w:pPr>
              <w:pStyle w:val="TableParagraph"/>
              <w:spacing w:before="1" w:line="217" w:lineRule="exact"/>
              <w:rPr>
                <w:sz w:val="20"/>
              </w:rPr>
            </w:pPr>
            <w:r>
              <w:rPr>
                <w:sz w:val="20"/>
              </w:rPr>
              <w:t>GYKOZKETE-1M* (szigorlati jegy): szóbeli számonkérés tételsor alapján</w:t>
            </w:r>
          </w:p>
        </w:tc>
      </w:tr>
      <w:tr w:rsidR="00402579">
        <w:trPr>
          <w:trHeight w:val="23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sz w:val="20"/>
              </w:rPr>
              <w:t>A félév végi számonkérés formája</w:t>
            </w:r>
            <w:r>
              <w:rPr>
                <w:b/>
                <w:i/>
                <w:sz w:val="20"/>
              </w:rPr>
              <w:t xml:space="preserve">: </w:t>
            </w:r>
            <w:r>
              <w:rPr>
                <w:sz w:val="20"/>
              </w:rPr>
              <w:t>szigorlat</w:t>
            </w:r>
          </w:p>
        </w:tc>
      </w:tr>
      <w:tr w:rsidR="00402579">
        <w:trPr>
          <w:trHeight w:val="23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tárgy előírt külső szakmai gyakorlatai: -</w:t>
            </w:r>
          </w:p>
        </w:tc>
      </w:tr>
    </w:tbl>
    <w:p w:rsidR="00402579" w:rsidRDefault="00402579">
      <w:pPr>
        <w:pStyle w:val="Szvegtrzs"/>
        <w:rPr>
          <w:sz w:val="13"/>
        </w:rPr>
      </w:pPr>
    </w:p>
    <w:p w:rsidR="00402579" w:rsidRDefault="00FF312F">
      <w:pPr>
        <w:pStyle w:val="Szvegtrzs"/>
        <w:spacing w:before="90"/>
        <w:ind w:right="452"/>
        <w:jc w:val="right"/>
      </w:pPr>
      <w:r>
        <w:t>2</w:t>
      </w:r>
    </w:p>
    <w:p w:rsidR="00402579" w:rsidRDefault="00402579">
      <w:pPr>
        <w:jc w:val="right"/>
        <w:sectPr w:rsidR="00402579">
          <w:headerReference w:type="default" r:id="rId8"/>
          <w:pgSz w:w="11910" w:h="16840"/>
          <w:pgMar w:top="960" w:right="680" w:bottom="280" w:left="920" w:header="714" w:footer="0" w:gutter="0"/>
          <w:pgNumType w:start="2"/>
          <w:cols w:space="708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2"/>
      </w:tblGrid>
      <w:tr w:rsidR="00402579">
        <w:trPr>
          <w:trHeight w:val="575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 tananyag elsajátításához felhasználható jegyzetek, tankönyvek, segédletek és szakirodalom listája:</w:t>
            </w:r>
          </w:p>
          <w:p w:rsidR="00402579" w:rsidRDefault="00FF312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Kötelező tananyag:</w:t>
            </w:r>
          </w:p>
          <w:p w:rsidR="00402579" w:rsidRDefault="00FF312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Népegészségtani ismeretek. Szerk.: Dr. Tompa Anna Semmelweis Kiadó. 2008.</w:t>
            </w:r>
          </w:p>
          <w:p w:rsidR="00402579" w:rsidRDefault="00FF312F">
            <w:pPr>
              <w:pStyle w:val="TableParagraph"/>
              <w:ind w:right="240"/>
              <w:rPr>
                <w:sz w:val="20"/>
              </w:rPr>
            </w:pPr>
            <w:r>
              <w:rPr>
                <w:sz w:val="20"/>
              </w:rPr>
              <w:t xml:space="preserve">Megelőző orvostan és népegészségtan (szerk: Ádány, 2011), szabadon elérhető a tankonyvtar.hu-n: </w:t>
            </w:r>
            <w:r>
              <w:rPr>
                <w:w w:val="95"/>
                <w:sz w:val="20"/>
              </w:rPr>
              <w:t>https://</w:t>
            </w:r>
            <w:hyperlink r:id="rId9">
              <w:r>
                <w:rPr>
                  <w:w w:val="95"/>
                  <w:sz w:val="20"/>
                </w:rPr>
                <w:t>www.tankonyvtar.hu/hu/tartalom/tamop425/2011_0001_524_Megelozo_orvostan_nepegeszsegtan/adatok.html</w:t>
              </w:r>
            </w:hyperlink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Előadások, gyakorlatok anyaga</w:t>
            </w:r>
          </w:p>
          <w:p w:rsidR="00402579" w:rsidRDefault="00FF312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18/1998. (VI. 3.) NM rendelet a fertőző betegségek és a járványok megelőzése érdekében szükséges járványügyi intézkedésekről</w:t>
            </w:r>
          </w:p>
          <w:p w:rsidR="00402579" w:rsidRDefault="00FF312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EMMI módszertani levele a 2018. évi védőoltásokról</w:t>
            </w:r>
          </w:p>
          <w:p w:rsidR="00402579" w:rsidRDefault="00402579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:rsidR="00402579" w:rsidRDefault="00FF312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Ajánlott irodalom:</w:t>
            </w:r>
          </w:p>
          <w:p w:rsidR="00402579" w:rsidRDefault="00FF312F">
            <w:pPr>
              <w:pStyle w:val="TableParagraph"/>
              <w:spacing w:before="1"/>
              <w:ind w:left="108" w:right="1596"/>
              <w:rPr>
                <w:sz w:val="20"/>
              </w:rPr>
            </w:pPr>
            <w:r>
              <w:rPr>
                <w:sz w:val="20"/>
              </w:rPr>
              <w:t>Ádány Róza - Sándor Judit - Angela Brand (szerkesztők): Népegészségügyi genomika (Medicina, 2012) Ádány Róza (szerk.): Megelőző orvostan és népegészségtan (Medicina Könyvkiadó, 2012)</w:t>
            </w:r>
          </w:p>
          <w:p w:rsidR="00402579" w:rsidRDefault="00FF312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Budai József, Nyerges Gábor: Védőoltások (Medicina, 2004)</w:t>
            </w:r>
          </w:p>
          <w:p w:rsidR="00402579" w:rsidRDefault="00FF312F">
            <w:pPr>
              <w:pStyle w:val="TableParagraph"/>
              <w:spacing w:before="1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Ember-Kiss-Cseh (szerk.): Népegészségügyi orvostan (PTE ÁOK, 2013)</w:t>
            </w:r>
          </w:p>
          <w:p w:rsidR="00402579" w:rsidRDefault="00FF312F">
            <w:pPr>
              <w:pStyle w:val="TableParagraph"/>
              <w:ind w:left="108" w:right="2757"/>
              <w:rPr>
                <w:sz w:val="20"/>
              </w:rPr>
            </w:pPr>
            <w:r>
              <w:rPr>
                <w:sz w:val="20"/>
              </w:rPr>
              <w:t>Ember István - Pál Viktor - Tóth József (szerkesztők): Egészségföldrajz (Medicina, 2013) Gulácsi László (szerk.): Egészség-gazdaságtan és technológiaelemzés (Medicina, 2012) Kovács Gábor (szerk.): Dohányzás vagy egészséges életmód? (Medicina, 2006)</w:t>
            </w:r>
          </w:p>
          <w:p w:rsidR="00402579" w:rsidRDefault="00FF312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Köteles György (szerk.): Sugáregészségtan (Medicina, 2002)</w:t>
            </w:r>
          </w:p>
          <w:p w:rsidR="00402579" w:rsidRDefault="00FF312F">
            <w:pPr>
              <w:pStyle w:val="TableParagraph"/>
              <w:spacing w:before="1"/>
              <w:ind w:left="108" w:right="3763"/>
              <w:rPr>
                <w:sz w:val="20"/>
              </w:rPr>
            </w:pPr>
            <w:r>
              <w:rPr>
                <w:sz w:val="20"/>
              </w:rPr>
              <w:t>Rodler Imre (szerk.): Élelmezés és táplálkozás-egészségtan (Medicina, 2005) Rodler Imre: Élelmezéshigiéné (Medicina, 2007)</w:t>
            </w:r>
          </w:p>
          <w:p w:rsidR="00402579" w:rsidRDefault="00FF312F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Rodler Imre: Kalória és tápanyagtáblázat (Medicina, 2008)</w:t>
            </w:r>
          </w:p>
          <w:p w:rsidR="00402579" w:rsidRDefault="00FF312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Tompa Anna (szerk.): Kémiai biztonság és toxikológia (Medicina, 2005)</w:t>
            </w:r>
          </w:p>
          <w:p w:rsidR="00402579" w:rsidRDefault="00FF312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Ungváry György, Morvai Veronika (szerkesztők): Munkaegészségtan (Medicina, 2010)</w:t>
            </w:r>
          </w:p>
          <w:p w:rsidR="00402579" w:rsidRDefault="00FF312F">
            <w:pPr>
              <w:pStyle w:val="TableParagraph"/>
              <w:spacing w:before="1"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V. Hajdú Piroska – Ádány Róza (szerk.): Epidemiológiai szótár (Medicina, 2003)</w:t>
            </w:r>
          </w:p>
        </w:tc>
      </w:tr>
      <w:tr w:rsidR="00402579">
        <w:trPr>
          <w:trHeight w:val="23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 kurzus tárgyi szükségletei:</w:t>
            </w:r>
          </w:p>
        </w:tc>
      </w:tr>
      <w:tr w:rsidR="00402579">
        <w:trPr>
          <w:trHeight w:val="230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Tantárgyi vonatkozású tudományos eredmények, kutatások:</w:t>
            </w:r>
          </w:p>
        </w:tc>
      </w:tr>
      <w:tr w:rsidR="00402579">
        <w:trPr>
          <w:trHeight w:val="688"/>
        </w:trPr>
        <w:tc>
          <w:tcPr>
            <w:tcW w:w="10082" w:type="dxa"/>
          </w:tcPr>
          <w:p w:rsidR="00402579" w:rsidRDefault="00FF312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b/>
                <w:sz w:val="20"/>
              </w:rPr>
              <w:t xml:space="preserve">A tantárgyleírást készítette: </w:t>
            </w:r>
            <w:r>
              <w:rPr>
                <w:sz w:val="20"/>
              </w:rPr>
              <w:t>Dr. Horváth Ferenc, tanulmányi felelős</w:t>
            </w:r>
          </w:p>
        </w:tc>
      </w:tr>
    </w:tbl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rPr>
          <w:sz w:val="20"/>
        </w:rPr>
      </w:pPr>
    </w:p>
    <w:p w:rsidR="00402579" w:rsidRDefault="00402579">
      <w:pPr>
        <w:pStyle w:val="Szvegtrzs"/>
        <w:spacing w:before="10"/>
        <w:rPr>
          <w:sz w:val="20"/>
        </w:rPr>
      </w:pPr>
    </w:p>
    <w:p w:rsidR="00402579" w:rsidRDefault="00FF312F">
      <w:pPr>
        <w:pStyle w:val="Szvegtrzs"/>
        <w:spacing w:before="90"/>
        <w:ind w:right="452"/>
        <w:jc w:val="right"/>
      </w:pPr>
      <w:r>
        <w:t>3</w:t>
      </w:r>
    </w:p>
    <w:sectPr w:rsidR="00402579">
      <w:pgSz w:w="11910" w:h="16840"/>
      <w:pgMar w:top="960" w:right="680" w:bottom="280" w:left="920" w:header="71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15B" w:rsidRDefault="0089315B">
      <w:r>
        <w:separator/>
      </w:r>
    </w:p>
  </w:endnote>
  <w:endnote w:type="continuationSeparator" w:id="0">
    <w:p w:rsidR="0089315B" w:rsidRDefault="0089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15B" w:rsidRDefault="0089315B">
      <w:r>
        <w:separator/>
      </w:r>
    </w:p>
  </w:footnote>
  <w:footnote w:type="continuationSeparator" w:id="0">
    <w:p w:rsidR="0089315B" w:rsidRDefault="0089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579" w:rsidRDefault="0089315B">
    <w:pPr>
      <w:pStyle w:val="Szvegtrzs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pt;margin-top:34.7pt;width:10.05pt;height:15.3pt;z-index:-251658752;mso-position-horizontal-relative:page;mso-position-vertical-relative:page" filled="f" stroked="f">
          <v:textbox inset="0,0,0,0">
            <w:txbxContent>
              <w:p w:rsidR="00402579" w:rsidRDefault="00FF312F">
                <w:pPr>
                  <w:pStyle w:val="Szvegtrzs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754E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5943"/>
    <w:multiLevelType w:val="hybridMultilevel"/>
    <w:tmpl w:val="66CCF612"/>
    <w:lvl w:ilvl="0" w:tplc="B772070E">
      <w:start w:val="1"/>
      <w:numFmt w:val="decimal"/>
      <w:lvlText w:val="%1."/>
      <w:lvlJc w:val="left"/>
      <w:pPr>
        <w:ind w:left="309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280CAA38">
      <w:numFmt w:val="bullet"/>
      <w:lvlText w:val="•"/>
      <w:lvlJc w:val="left"/>
      <w:pPr>
        <w:ind w:left="1277" w:hanging="202"/>
      </w:pPr>
      <w:rPr>
        <w:rFonts w:hint="default"/>
      </w:rPr>
    </w:lvl>
    <w:lvl w:ilvl="2" w:tplc="BCA6B13E">
      <w:numFmt w:val="bullet"/>
      <w:lvlText w:val="•"/>
      <w:lvlJc w:val="left"/>
      <w:pPr>
        <w:ind w:left="2254" w:hanging="202"/>
      </w:pPr>
      <w:rPr>
        <w:rFonts w:hint="default"/>
      </w:rPr>
    </w:lvl>
    <w:lvl w:ilvl="3" w:tplc="31F86D64">
      <w:numFmt w:val="bullet"/>
      <w:lvlText w:val="•"/>
      <w:lvlJc w:val="left"/>
      <w:pPr>
        <w:ind w:left="3231" w:hanging="202"/>
      </w:pPr>
      <w:rPr>
        <w:rFonts w:hint="default"/>
      </w:rPr>
    </w:lvl>
    <w:lvl w:ilvl="4" w:tplc="FA3683FA">
      <w:numFmt w:val="bullet"/>
      <w:lvlText w:val="•"/>
      <w:lvlJc w:val="left"/>
      <w:pPr>
        <w:ind w:left="4208" w:hanging="202"/>
      </w:pPr>
      <w:rPr>
        <w:rFonts w:hint="default"/>
      </w:rPr>
    </w:lvl>
    <w:lvl w:ilvl="5" w:tplc="8E863FAE">
      <w:numFmt w:val="bullet"/>
      <w:lvlText w:val="•"/>
      <w:lvlJc w:val="left"/>
      <w:pPr>
        <w:ind w:left="5186" w:hanging="202"/>
      </w:pPr>
      <w:rPr>
        <w:rFonts w:hint="default"/>
      </w:rPr>
    </w:lvl>
    <w:lvl w:ilvl="6" w:tplc="4EBC1C00">
      <w:numFmt w:val="bullet"/>
      <w:lvlText w:val="•"/>
      <w:lvlJc w:val="left"/>
      <w:pPr>
        <w:ind w:left="6163" w:hanging="202"/>
      </w:pPr>
      <w:rPr>
        <w:rFonts w:hint="default"/>
      </w:rPr>
    </w:lvl>
    <w:lvl w:ilvl="7" w:tplc="A622FBD0">
      <w:numFmt w:val="bullet"/>
      <w:lvlText w:val="•"/>
      <w:lvlJc w:val="left"/>
      <w:pPr>
        <w:ind w:left="7140" w:hanging="202"/>
      </w:pPr>
      <w:rPr>
        <w:rFonts w:hint="default"/>
      </w:rPr>
    </w:lvl>
    <w:lvl w:ilvl="8" w:tplc="03C60482">
      <w:numFmt w:val="bullet"/>
      <w:lvlText w:val="•"/>
      <w:lvlJc w:val="left"/>
      <w:pPr>
        <w:ind w:left="8117" w:hanging="202"/>
      </w:pPr>
      <w:rPr>
        <w:rFonts w:hint="default"/>
      </w:rPr>
    </w:lvl>
  </w:abstractNum>
  <w:abstractNum w:abstractNumId="1" w15:restartNumberingAfterBreak="0">
    <w:nsid w:val="1DC964A5"/>
    <w:multiLevelType w:val="hybridMultilevel"/>
    <w:tmpl w:val="AADAF9EA"/>
    <w:lvl w:ilvl="0" w:tplc="530C87FE">
      <w:start w:val="1"/>
      <w:numFmt w:val="decimal"/>
      <w:lvlText w:val="%1."/>
      <w:lvlJc w:val="left"/>
      <w:pPr>
        <w:ind w:left="753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C4FC8B26">
      <w:numFmt w:val="bullet"/>
      <w:lvlText w:val="•"/>
      <w:lvlJc w:val="left"/>
      <w:pPr>
        <w:ind w:left="1691" w:hanging="360"/>
      </w:pPr>
      <w:rPr>
        <w:rFonts w:hint="default"/>
      </w:rPr>
    </w:lvl>
    <w:lvl w:ilvl="2" w:tplc="956021F8">
      <w:numFmt w:val="bullet"/>
      <w:lvlText w:val="•"/>
      <w:lvlJc w:val="left"/>
      <w:pPr>
        <w:ind w:left="2622" w:hanging="360"/>
      </w:pPr>
      <w:rPr>
        <w:rFonts w:hint="default"/>
      </w:rPr>
    </w:lvl>
    <w:lvl w:ilvl="3" w:tplc="6AE08942">
      <w:numFmt w:val="bullet"/>
      <w:lvlText w:val="•"/>
      <w:lvlJc w:val="left"/>
      <w:pPr>
        <w:ind w:left="3553" w:hanging="360"/>
      </w:pPr>
      <w:rPr>
        <w:rFonts w:hint="default"/>
      </w:rPr>
    </w:lvl>
    <w:lvl w:ilvl="4" w:tplc="1F2882CC"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6B8C39D8">
      <w:numFmt w:val="bullet"/>
      <w:lvlText w:val="•"/>
      <w:lvlJc w:val="left"/>
      <w:pPr>
        <w:ind w:left="5416" w:hanging="360"/>
      </w:pPr>
      <w:rPr>
        <w:rFonts w:hint="default"/>
      </w:rPr>
    </w:lvl>
    <w:lvl w:ilvl="6" w:tplc="6C2685A4">
      <w:numFmt w:val="bullet"/>
      <w:lvlText w:val="•"/>
      <w:lvlJc w:val="left"/>
      <w:pPr>
        <w:ind w:left="6347" w:hanging="360"/>
      </w:pPr>
      <w:rPr>
        <w:rFonts w:hint="default"/>
      </w:rPr>
    </w:lvl>
    <w:lvl w:ilvl="7" w:tplc="7D2CA5FE">
      <w:numFmt w:val="bullet"/>
      <w:lvlText w:val="•"/>
      <w:lvlJc w:val="left"/>
      <w:pPr>
        <w:ind w:left="7278" w:hanging="360"/>
      </w:pPr>
      <w:rPr>
        <w:rFonts w:hint="default"/>
      </w:rPr>
    </w:lvl>
    <w:lvl w:ilvl="8" w:tplc="A0789FE0">
      <w:numFmt w:val="bullet"/>
      <w:lvlText w:val="•"/>
      <w:lvlJc w:val="left"/>
      <w:pPr>
        <w:ind w:left="8209" w:hanging="360"/>
      </w:pPr>
      <w:rPr>
        <w:rFonts w:hint="default"/>
      </w:rPr>
    </w:lvl>
  </w:abstractNum>
  <w:abstractNum w:abstractNumId="2" w15:restartNumberingAfterBreak="0">
    <w:nsid w:val="7A8E7E9F"/>
    <w:multiLevelType w:val="hybridMultilevel"/>
    <w:tmpl w:val="E076987A"/>
    <w:lvl w:ilvl="0" w:tplc="E5F6D4AA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3552F142">
      <w:numFmt w:val="bullet"/>
      <w:lvlText w:val="•"/>
      <w:lvlJc w:val="left"/>
      <w:pPr>
        <w:ind w:left="1745" w:hanging="360"/>
      </w:pPr>
      <w:rPr>
        <w:rFonts w:hint="default"/>
      </w:rPr>
    </w:lvl>
    <w:lvl w:ilvl="2" w:tplc="1E7A8440">
      <w:numFmt w:val="bullet"/>
      <w:lvlText w:val="•"/>
      <w:lvlJc w:val="left"/>
      <w:pPr>
        <w:ind w:left="2670" w:hanging="360"/>
      </w:pPr>
      <w:rPr>
        <w:rFonts w:hint="default"/>
      </w:rPr>
    </w:lvl>
    <w:lvl w:ilvl="3" w:tplc="FBB4C5B0">
      <w:numFmt w:val="bullet"/>
      <w:lvlText w:val="•"/>
      <w:lvlJc w:val="left"/>
      <w:pPr>
        <w:ind w:left="3595" w:hanging="360"/>
      </w:pPr>
      <w:rPr>
        <w:rFonts w:hint="default"/>
      </w:rPr>
    </w:lvl>
    <w:lvl w:ilvl="4" w:tplc="83A86246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7B3ACB48">
      <w:numFmt w:val="bullet"/>
      <w:lvlText w:val="•"/>
      <w:lvlJc w:val="left"/>
      <w:pPr>
        <w:ind w:left="5446" w:hanging="360"/>
      </w:pPr>
      <w:rPr>
        <w:rFonts w:hint="default"/>
      </w:rPr>
    </w:lvl>
    <w:lvl w:ilvl="6" w:tplc="FE4659BC">
      <w:numFmt w:val="bullet"/>
      <w:lvlText w:val="•"/>
      <w:lvlJc w:val="left"/>
      <w:pPr>
        <w:ind w:left="6371" w:hanging="360"/>
      </w:pPr>
      <w:rPr>
        <w:rFonts w:hint="default"/>
      </w:rPr>
    </w:lvl>
    <w:lvl w:ilvl="7" w:tplc="09848E9A"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2AF8AFD4">
      <w:numFmt w:val="bullet"/>
      <w:lvlText w:val="•"/>
      <w:lvlJc w:val="left"/>
      <w:pPr>
        <w:ind w:left="8221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02579"/>
    <w:rsid w:val="000754E7"/>
    <w:rsid w:val="00402579"/>
    <w:rsid w:val="0089315B"/>
    <w:rsid w:val="00D97B29"/>
    <w:rsid w:val="00ED105E"/>
    <w:rsid w:val="00F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00DF5E"/>
  <w15:docId w15:val="{5447D219-C80A-4AC1-98F7-D01D4AA6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issne_horvath.ildiko@med.semmelweis-uni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ankonyvtar.hu/hu/tartalom/tamop425/2011_0001_524_Megelozo_orvostan_nepegeszsegtan/adato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1100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Microsoft Word - 2018_2019_GYTK_kovetelmeny</vt:lpstr>
    </vt:vector>
  </TitlesOfParts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- 2018_2019_GYTK_kovetelmeny</dc:title>
  <dc:creator>horfer</dc:creator>
  <cp:lastModifiedBy>Ambrus Péter</cp:lastModifiedBy>
  <cp:revision>3</cp:revision>
  <dcterms:created xsi:type="dcterms:W3CDTF">2018-04-27T08:22:00Z</dcterms:created>
  <dcterms:modified xsi:type="dcterms:W3CDTF">2018-04-27T08:42:00Z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2018-04-26T00:00:00Z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2018-04-27T00:00:00Z</vt:filetime>
  </property>
</Properties>
</file>