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"/>
        <w:gridCol w:w="1289"/>
        <w:gridCol w:w="1265"/>
        <w:gridCol w:w="1080"/>
        <w:gridCol w:w="1356"/>
        <w:gridCol w:w="847"/>
        <w:gridCol w:w="765"/>
        <w:gridCol w:w="2157"/>
        <w:gridCol w:w="1379"/>
        <w:gridCol w:w="135"/>
      </w:tblGrid>
      <w:tr w:rsidR="00F4115B">
        <w:trPr>
          <w:trHeight w:val="918"/>
        </w:trPr>
        <w:tc>
          <w:tcPr>
            <w:tcW w:w="10386" w:type="dxa"/>
            <w:gridSpan w:val="10"/>
          </w:tcPr>
          <w:p w:rsidR="00F4115B" w:rsidRDefault="00F4115B">
            <w:pPr>
              <w:pStyle w:val="TableParagraph"/>
              <w:spacing w:before="9"/>
              <w:ind w:left="0"/>
              <w:rPr>
                <w:sz w:val="19"/>
              </w:rPr>
            </w:pPr>
          </w:p>
          <w:p w:rsidR="00F4115B" w:rsidRDefault="00ED3236">
            <w:pPr>
              <w:pStyle w:val="TableParagraph"/>
              <w:spacing w:before="1"/>
              <w:ind w:left="3451" w:right="34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2018/2019. TANÉVBEN ÉRVÉNYES TANTÁRGYI PROGRAM</w:t>
            </w:r>
          </w:p>
        </w:tc>
      </w:tr>
      <w:tr w:rsidR="00F4115B">
        <w:trPr>
          <w:trHeight w:val="230"/>
        </w:trPr>
        <w:tc>
          <w:tcPr>
            <w:tcW w:w="10386" w:type="dxa"/>
            <w:gridSpan w:val="10"/>
          </w:tcPr>
          <w:p w:rsidR="00F4115B" w:rsidRDefault="00ED3236">
            <w:pPr>
              <w:pStyle w:val="TableParagraph"/>
              <w:spacing w:line="210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Tantárgy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tel</w:t>
            </w:r>
            <w:bookmarkStart w:id="0" w:name="_GoBack"/>
            <w:bookmarkEnd w:id="0"/>
            <w:r>
              <w:rPr>
                <w:b/>
                <w:sz w:val="20"/>
              </w:rPr>
              <w:t>jes</w:t>
            </w:r>
            <w:proofErr w:type="spellEnd"/>
            <w:r>
              <w:rPr>
                <w:b/>
                <w:sz w:val="20"/>
              </w:rPr>
              <w:t xml:space="preserve"> neve: </w:t>
            </w:r>
            <w:r w:rsidRPr="00502662">
              <w:rPr>
                <w:b/>
                <w:sz w:val="20"/>
              </w:rPr>
              <w:t>ÁLTALÁNOS ÉS SZERVETLEN KÉMIA I.</w:t>
            </w:r>
          </w:p>
        </w:tc>
      </w:tr>
      <w:tr w:rsidR="00F4115B">
        <w:trPr>
          <w:trHeight w:val="230"/>
        </w:trPr>
        <w:tc>
          <w:tcPr>
            <w:tcW w:w="10386" w:type="dxa"/>
            <w:gridSpan w:val="10"/>
          </w:tcPr>
          <w:p w:rsidR="00F4115B" w:rsidRDefault="00ED3236">
            <w:pPr>
              <w:pStyle w:val="TableParagraph"/>
              <w:spacing w:line="210" w:lineRule="exact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Képzés</w:t>
            </w:r>
            <w:proofErr w:type="spellEnd"/>
            <w:r>
              <w:rPr>
                <w:b/>
                <w:sz w:val="20"/>
              </w:rPr>
              <w:t xml:space="preserve">: </w:t>
            </w:r>
            <w:proofErr w:type="spellStart"/>
            <w:r w:rsidR="0095639E">
              <w:rPr>
                <w:sz w:val="20"/>
              </w:rPr>
              <w:t>egységes</w:t>
            </w:r>
            <w:proofErr w:type="spellEnd"/>
            <w:r w:rsidR="0095639E">
              <w:rPr>
                <w:sz w:val="20"/>
              </w:rPr>
              <w:t xml:space="preserve">, </w:t>
            </w:r>
            <w:proofErr w:type="spellStart"/>
            <w:r w:rsidR="0095639E">
              <w:rPr>
                <w:sz w:val="20"/>
              </w:rPr>
              <w:t>osztatlan</w:t>
            </w:r>
            <w:proofErr w:type="spellEnd"/>
          </w:p>
        </w:tc>
      </w:tr>
      <w:tr w:rsidR="00F4115B">
        <w:trPr>
          <w:trHeight w:val="230"/>
        </w:trPr>
        <w:tc>
          <w:tcPr>
            <w:tcW w:w="10386" w:type="dxa"/>
            <w:gridSpan w:val="10"/>
          </w:tcPr>
          <w:p w:rsidR="00F4115B" w:rsidRDefault="00ED3236">
            <w:pPr>
              <w:pStyle w:val="TableParagraph"/>
              <w:spacing w:line="210" w:lineRule="exact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Munkarend</w:t>
            </w:r>
            <w:proofErr w:type="spellEnd"/>
            <w:r>
              <w:rPr>
                <w:b/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nappali</w:t>
            </w:r>
            <w:proofErr w:type="spellEnd"/>
          </w:p>
        </w:tc>
      </w:tr>
      <w:tr w:rsidR="00F4115B">
        <w:trPr>
          <w:trHeight w:val="230"/>
        </w:trPr>
        <w:tc>
          <w:tcPr>
            <w:tcW w:w="10386" w:type="dxa"/>
            <w:gridSpan w:val="10"/>
          </w:tcPr>
          <w:p w:rsidR="00F4115B" w:rsidRDefault="00ED3236">
            <w:pPr>
              <w:pStyle w:val="TableParagraph"/>
              <w:spacing w:line="210" w:lineRule="exact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Tantárgy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rövidített</w:t>
            </w:r>
            <w:proofErr w:type="spellEnd"/>
            <w:r>
              <w:rPr>
                <w:b/>
                <w:sz w:val="20"/>
              </w:rPr>
              <w:t xml:space="preserve"> neve: </w:t>
            </w:r>
            <w:proofErr w:type="spellStart"/>
            <w:r>
              <w:rPr>
                <w:sz w:val="20"/>
              </w:rPr>
              <w:t>Ált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kém</w:t>
            </w:r>
            <w:proofErr w:type="spellEnd"/>
            <w:r>
              <w:rPr>
                <w:sz w:val="20"/>
              </w:rPr>
              <w:t>. I.</w:t>
            </w:r>
          </w:p>
        </w:tc>
      </w:tr>
      <w:tr w:rsidR="00F4115B">
        <w:trPr>
          <w:trHeight w:val="230"/>
        </w:trPr>
        <w:tc>
          <w:tcPr>
            <w:tcW w:w="10386" w:type="dxa"/>
            <w:gridSpan w:val="10"/>
          </w:tcPr>
          <w:p w:rsidR="00F4115B" w:rsidRDefault="00ED3236">
            <w:pPr>
              <w:pStyle w:val="TableParagraph"/>
              <w:spacing w:line="210" w:lineRule="exact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Tantárgy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angol</w:t>
            </w:r>
            <w:proofErr w:type="spellEnd"/>
            <w:r>
              <w:rPr>
                <w:b/>
                <w:sz w:val="20"/>
              </w:rPr>
              <w:t xml:space="preserve"> neve: </w:t>
            </w:r>
            <w:r w:rsidR="0095639E" w:rsidRPr="0095639E">
              <w:rPr>
                <w:sz w:val="20"/>
              </w:rPr>
              <w:t>General and Inorganic Chemistry I.</w:t>
            </w:r>
          </w:p>
        </w:tc>
      </w:tr>
      <w:tr w:rsidR="00F4115B">
        <w:trPr>
          <w:trHeight w:val="229"/>
        </w:trPr>
        <w:tc>
          <w:tcPr>
            <w:tcW w:w="10386" w:type="dxa"/>
            <w:gridSpan w:val="10"/>
            <w:tcBorders>
              <w:bottom w:val="single" w:sz="8" w:space="0" w:color="000000"/>
            </w:tcBorders>
          </w:tcPr>
          <w:p w:rsidR="00F4115B" w:rsidRDefault="00ED3236">
            <w:pPr>
              <w:pStyle w:val="TableParagraph"/>
              <w:spacing w:line="210" w:lineRule="exact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Tantárgy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neptun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kódja</w:t>
            </w:r>
            <w:proofErr w:type="spellEnd"/>
            <w:r>
              <w:rPr>
                <w:b/>
                <w:sz w:val="20"/>
              </w:rPr>
              <w:t xml:space="preserve">: GYASKASKE1M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elmélet</w:t>
            </w:r>
            <w:proofErr w:type="spellEnd"/>
            <w:r>
              <w:rPr>
                <w:sz w:val="20"/>
              </w:rPr>
              <w:t xml:space="preserve">) </w:t>
            </w:r>
            <w:r>
              <w:rPr>
                <w:b/>
                <w:sz w:val="20"/>
              </w:rPr>
              <w:t xml:space="preserve">GYASKASKG1M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gyakorlat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F4115B">
        <w:trPr>
          <w:trHeight w:val="229"/>
        </w:trPr>
        <w:tc>
          <w:tcPr>
            <w:tcW w:w="113" w:type="dxa"/>
            <w:tcBorders>
              <w:bottom w:val="nil"/>
            </w:tcBorders>
          </w:tcPr>
          <w:p w:rsidR="00F4115B" w:rsidRDefault="00F4115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0138" w:type="dxa"/>
            <w:gridSpan w:val="8"/>
            <w:tcBorders>
              <w:top w:val="single" w:sz="8" w:space="0" w:color="000000"/>
            </w:tcBorders>
          </w:tcPr>
          <w:p w:rsidR="00F4115B" w:rsidRDefault="00ED3236">
            <w:pPr>
              <w:pStyle w:val="TableParagraph"/>
              <w:spacing w:line="210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Tantárgy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besorolása</w:t>
            </w:r>
            <w:proofErr w:type="spellEnd"/>
            <w:r>
              <w:rPr>
                <w:b/>
                <w:sz w:val="20"/>
              </w:rPr>
              <w:t xml:space="preserve">: </w:t>
            </w:r>
            <w:proofErr w:type="spellStart"/>
            <w:r w:rsidRPr="0095639E">
              <w:rPr>
                <w:sz w:val="20"/>
              </w:rPr>
              <w:t>kötelező</w:t>
            </w:r>
            <w:proofErr w:type="spellEnd"/>
          </w:p>
        </w:tc>
        <w:tc>
          <w:tcPr>
            <w:tcW w:w="135" w:type="dxa"/>
            <w:tcBorders>
              <w:bottom w:val="nil"/>
            </w:tcBorders>
          </w:tcPr>
          <w:p w:rsidR="00F4115B" w:rsidRDefault="00F4115B">
            <w:pPr>
              <w:pStyle w:val="TableParagraph"/>
              <w:ind w:left="0"/>
              <w:rPr>
                <w:sz w:val="16"/>
              </w:rPr>
            </w:pPr>
          </w:p>
        </w:tc>
      </w:tr>
      <w:tr w:rsidR="00F4115B">
        <w:trPr>
          <w:trHeight w:val="230"/>
        </w:trPr>
        <w:tc>
          <w:tcPr>
            <w:tcW w:w="10386" w:type="dxa"/>
            <w:gridSpan w:val="10"/>
          </w:tcPr>
          <w:p w:rsidR="00F4115B" w:rsidRDefault="00ED3236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 </w:t>
            </w:r>
            <w:proofErr w:type="spellStart"/>
            <w:r>
              <w:rPr>
                <w:b/>
                <w:sz w:val="20"/>
              </w:rPr>
              <w:t>tantárgy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oktatásáért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felelős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szervezeti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egység</w:t>
            </w:r>
            <w:proofErr w:type="spellEnd"/>
            <w:r>
              <w:rPr>
                <w:b/>
                <w:sz w:val="20"/>
              </w:rPr>
              <w:t xml:space="preserve">: </w:t>
            </w:r>
            <w:r w:rsidRPr="0095639E">
              <w:rPr>
                <w:sz w:val="20"/>
              </w:rPr>
              <w:t xml:space="preserve">ELTE TTK </w:t>
            </w:r>
            <w:proofErr w:type="spellStart"/>
            <w:r w:rsidRPr="0095639E">
              <w:rPr>
                <w:sz w:val="20"/>
              </w:rPr>
              <w:t>Kémiai</w:t>
            </w:r>
            <w:proofErr w:type="spellEnd"/>
            <w:r w:rsidRPr="0095639E">
              <w:rPr>
                <w:sz w:val="20"/>
              </w:rPr>
              <w:t xml:space="preserve"> </w:t>
            </w:r>
            <w:proofErr w:type="spellStart"/>
            <w:r w:rsidRPr="0095639E">
              <w:rPr>
                <w:sz w:val="20"/>
              </w:rPr>
              <w:t>Intézet</w:t>
            </w:r>
            <w:proofErr w:type="spellEnd"/>
            <w:r w:rsidRPr="0095639E">
              <w:rPr>
                <w:sz w:val="20"/>
              </w:rPr>
              <w:t xml:space="preserve"> </w:t>
            </w:r>
            <w:proofErr w:type="spellStart"/>
            <w:r w:rsidRPr="0095639E">
              <w:rPr>
                <w:sz w:val="20"/>
              </w:rPr>
              <w:t>Analitikai</w:t>
            </w:r>
            <w:proofErr w:type="spellEnd"/>
            <w:r w:rsidRPr="0095639E">
              <w:rPr>
                <w:sz w:val="20"/>
              </w:rPr>
              <w:t xml:space="preserve"> </w:t>
            </w:r>
            <w:proofErr w:type="spellStart"/>
            <w:r w:rsidRPr="0095639E">
              <w:rPr>
                <w:sz w:val="20"/>
              </w:rPr>
              <w:t>Kémiai</w:t>
            </w:r>
            <w:proofErr w:type="spellEnd"/>
            <w:r w:rsidRPr="0095639E">
              <w:rPr>
                <w:sz w:val="20"/>
              </w:rPr>
              <w:t xml:space="preserve"> </w:t>
            </w:r>
            <w:proofErr w:type="spellStart"/>
            <w:r w:rsidRPr="0095639E">
              <w:rPr>
                <w:sz w:val="20"/>
              </w:rPr>
              <w:t>Tanszék</w:t>
            </w:r>
            <w:proofErr w:type="spellEnd"/>
          </w:p>
        </w:tc>
      </w:tr>
      <w:tr w:rsidR="00F4115B">
        <w:trPr>
          <w:trHeight w:val="3220"/>
        </w:trPr>
        <w:tc>
          <w:tcPr>
            <w:tcW w:w="5103" w:type="dxa"/>
            <w:gridSpan w:val="5"/>
          </w:tcPr>
          <w:p w:rsidR="00F4115B" w:rsidRDefault="00ED3236">
            <w:pPr>
              <w:pStyle w:val="TableParagraph"/>
              <w:ind w:right="284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 </w:t>
            </w:r>
            <w:proofErr w:type="spellStart"/>
            <w:r>
              <w:rPr>
                <w:b/>
                <w:sz w:val="20"/>
              </w:rPr>
              <w:t>tantárgyfelelős</w:t>
            </w:r>
            <w:proofErr w:type="spellEnd"/>
            <w:r>
              <w:rPr>
                <w:b/>
                <w:sz w:val="20"/>
              </w:rPr>
              <w:t xml:space="preserve"> neve: Dr. </w:t>
            </w:r>
            <w:proofErr w:type="spellStart"/>
            <w:r>
              <w:rPr>
                <w:b/>
                <w:sz w:val="20"/>
              </w:rPr>
              <w:t>Noszál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Béla</w:t>
            </w:r>
            <w:proofErr w:type="spellEnd"/>
            <w:r>
              <w:rPr>
                <w:b/>
                <w:sz w:val="20"/>
              </w:rPr>
              <w:t xml:space="preserve"> (</w:t>
            </w:r>
            <w:proofErr w:type="spellStart"/>
            <w:r>
              <w:rPr>
                <w:b/>
                <w:sz w:val="20"/>
              </w:rPr>
              <w:t>elmélet</w:t>
            </w:r>
            <w:proofErr w:type="spellEnd"/>
            <w:r>
              <w:rPr>
                <w:b/>
                <w:sz w:val="20"/>
              </w:rPr>
              <w:t>)</w:t>
            </w:r>
          </w:p>
          <w:p w:rsidR="00F4115B" w:rsidRDefault="00ED3236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 xml:space="preserve">SE </w:t>
            </w:r>
            <w:proofErr w:type="spellStart"/>
            <w:r>
              <w:rPr>
                <w:sz w:val="20"/>
              </w:rPr>
              <w:t>Gyógyszerészi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Kémiai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Intézet</w:t>
            </w:r>
            <w:proofErr w:type="spellEnd"/>
          </w:p>
          <w:p w:rsidR="00F4115B" w:rsidRDefault="00ED3236">
            <w:pPr>
              <w:pStyle w:val="TableParagraph"/>
              <w:spacing w:line="229" w:lineRule="exact"/>
              <w:ind w:left="25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Elérhetőség</w:t>
            </w:r>
            <w:proofErr w:type="spellEnd"/>
            <w:r>
              <w:rPr>
                <w:b/>
                <w:sz w:val="20"/>
              </w:rPr>
              <w:t>:</w:t>
            </w:r>
          </w:p>
          <w:p w:rsidR="00F4115B" w:rsidRDefault="00ED3236">
            <w:pPr>
              <w:pStyle w:val="TableParagraph"/>
              <w:spacing w:line="229" w:lineRule="exact"/>
              <w:ind w:left="410"/>
              <w:rPr>
                <w:sz w:val="20"/>
              </w:rPr>
            </w:pPr>
            <w:r>
              <w:rPr>
                <w:b/>
                <w:sz w:val="20"/>
              </w:rPr>
              <w:t xml:space="preserve">- </w:t>
            </w:r>
            <w:proofErr w:type="spellStart"/>
            <w:r>
              <w:rPr>
                <w:b/>
                <w:sz w:val="20"/>
              </w:rPr>
              <w:t>telefon</w:t>
            </w:r>
            <w:proofErr w:type="spellEnd"/>
            <w:r>
              <w:rPr>
                <w:b/>
                <w:sz w:val="20"/>
              </w:rPr>
              <w:t xml:space="preserve">: </w:t>
            </w:r>
            <w:r>
              <w:rPr>
                <w:sz w:val="20"/>
              </w:rPr>
              <w:t>(+36-1)217-0891</w:t>
            </w:r>
          </w:p>
          <w:p w:rsidR="00F4115B" w:rsidRDefault="00ED3236">
            <w:pPr>
              <w:pStyle w:val="TableParagraph"/>
              <w:numPr>
                <w:ilvl w:val="0"/>
                <w:numId w:val="3"/>
              </w:numPr>
              <w:tabs>
                <w:tab w:val="left" w:pos="528"/>
              </w:tabs>
              <w:spacing w:before="1"/>
              <w:ind w:hanging="117"/>
              <w:rPr>
                <w:sz w:val="20"/>
              </w:rPr>
            </w:pPr>
            <w:r>
              <w:rPr>
                <w:b/>
                <w:sz w:val="20"/>
              </w:rPr>
              <w:t>e-mail: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5">
              <w:r>
                <w:rPr>
                  <w:sz w:val="20"/>
                </w:rPr>
                <w:t>noszal.bela@pharma.semmelweis-univ.hu</w:t>
              </w:r>
            </w:hyperlink>
          </w:p>
          <w:p w:rsidR="00F4115B" w:rsidRDefault="00ED3236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Dr. </w:t>
            </w:r>
            <w:proofErr w:type="spellStart"/>
            <w:r>
              <w:rPr>
                <w:b/>
                <w:sz w:val="20"/>
              </w:rPr>
              <w:t>Szalai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István</w:t>
            </w:r>
            <w:proofErr w:type="spellEnd"/>
            <w:r>
              <w:rPr>
                <w:b/>
                <w:sz w:val="20"/>
              </w:rPr>
              <w:t xml:space="preserve"> (</w:t>
            </w:r>
            <w:proofErr w:type="spellStart"/>
            <w:r>
              <w:rPr>
                <w:b/>
                <w:sz w:val="20"/>
              </w:rPr>
              <w:t>elmélet</w:t>
            </w:r>
            <w:proofErr w:type="spellEnd"/>
            <w:r>
              <w:rPr>
                <w:b/>
                <w:sz w:val="20"/>
              </w:rPr>
              <w:t>)</w:t>
            </w:r>
          </w:p>
          <w:p w:rsidR="00F4115B" w:rsidRDefault="00ED3236">
            <w:pPr>
              <w:pStyle w:val="TableParagraph"/>
              <w:spacing w:before="1"/>
              <w:ind w:left="309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Elérhetőség</w:t>
            </w:r>
            <w:proofErr w:type="spellEnd"/>
            <w:r>
              <w:rPr>
                <w:b/>
                <w:sz w:val="20"/>
              </w:rPr>
              <w:t xml:space="preserve">: </w:t>
            </w:r>
            <w:r>
              <w:rPr>
                <w:sz w:val="20"/>
              </w:rPr>
              <w:t xml:space="preserve">1117 Budapest, </w:t>
            </w:r>
            <w:proofErr w:type="spellStart"/>
            <w:r>
              <w:rPr>
                <w:sz w:val="20"/>
              </w:rPr>
              <w:t>Pázmány</w:t>
            </w:r>
            <w:proofErr w:type="spellEnd"/>
            <w:r>
              <w:rPr>
                <w:sz w:val="20"/>
              </w:rPr>
              <w:t xml:space="preserve"> P. </w:t>
            </w:r>
            <w:proofErr w:type="spellStart"/>
            <w:r>
              <w:rPr>
                <w:sz w:val="20"/>
              </w:rPr>
              <w:t>sétány</w:t>
            </w:r>
            <w:proofErr w:type="spellEnd"/>
            <w:r>
              <w:rPr>
                <w:sz w:val="20"/>
              </w:rPr>
              <w:t xml:space="preserve"> 1/a.</w:t>
            </w:r>
          </w:p>
          <w:p w:rsidR="00F4115B" w:rsidRDefault="00ED3236">
            <w:pPr>
              <w:pStyle w:val="TableParagraph"/>
              <w:ind w:left="410"/>
              <w:rPr>
                <w:sz w:val="20"/>
              </w:rPr>
            </w:pPr>
            <w:r>
              <w:rPr>
                <w:b/>
                <w:sz w:val="20"/>
              </w:rPr>
              <w:t xml:space="preserve">- </w:t>
            </w:r>
            <w:proofErr w:type="spellStart"/>
            <w:r>
              <w:rPr>
                <w:b/>
                <w:sz w:val="20"/>
              </w:rPr>
              <w:t>telefon</w:t>
            </w:r>
            <w:proofErr w:type="spellEnd"/>
            <w:r>
              <w:rPr>
                <w:b/>
                <w:sz w:val="20"/>
              </w:rPr>
              <w:t xml:space="preserve">: </w:t>
            </w:r>
            <w:r>
              <w:rPr>
                <w:color w:val="323232"/>
                <w:sz w:val="20"/>
              </w:rPr>
              <w:t>+36-1-372-2500 / 1902</w:t>
            </w:r>
          </w:p>
          <w:p w:rsidR="00F4115B" w:rsidRDefault="00ED3236">
            <w:pPr>
              <w:pStyle w:val="TableParagraph"/>
              <w:numPr>
                <w:ilvl w:val="0"/>
                <w:numId w:val="3"/>
              </w:numPr>
              <w:tabs>
                <w:tab w:val="left" w:pos="528"/>
              </w:tabs>
              <w:spacing w:line="229" w:lineRule="exact"/>
              <w:ind w:hanging="117"/>
              <w:rPr>
                <w:sz w:val="20"/>
              </w:rPr>
            </w:pPr>
            <w:r>
              <w:rPr>
                <w:b/>
                <w:sz w:val="20"/>
              </w:rPr>
              <w:t>e-mail:</w:t>
            </w:r>
            <w:r>
              <w:rPr>
                <w:b/>
                <w:spacing w:val="49"/>
                <w:sz w:val="20"/>
              </w:rPr>
              <w:t xml:space="preserve"> </w:t>
            </w:r>
            <w:hyperlink r:id="rId6">
              <w:r>
                <w:rPr>
                  <w:sz w:val="20"/>
                </w:rPr>
                <w:t>szalai.istvan@chem.elte.hu</w:t>
              </w:r>
            </w:hyperlink>
          </w:p>
          <w:p w:rsidR="00F4115B" w:rsidRDefault="00ED3236"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Dr. </w:t>
            </w:r>
            <w:proofErr w:type="spellStart"/>
            <w:r>
              <w:rPr>
                <w:b/>
                <w:sz w:val="20"/>
              </w:rPr>
              <w:t>Szoboszlai</w:t>
            </w:r>
            <w:proofErr w:type="spellEnd"/>
            <w:r>
              <w:rPr>
                <w:b/>
                <w:sz w:val="20"/>
              </w:rPr>
              <w:t xml:space="preserve"> Norbert (</w:t>
            </w:r>
            <w:proofErr w:type="spellStart"/>
            <w:r>
              <w:rPr>
                <w:b/>
                <w:sz w:val="20"/>
              </w:rPr>
              <w:t>gyakorlat</w:t>
            </w:r>
            <w:proofErr w:type="spellEnd"/>
            <w:r>
              <w:rPr>
                <w:b/>
                <w:sz w:val="20"/>
              </w:rPr>
              <w:t>)</w:t>
            </w:r>
          </w:p>
          <w:p w:rsidR="00F4115B" w:rsidRDefault="00ED3236">
            <w:pPr>
              <w:pStyle w:val="TableParagraph"/>
              <w:spacing w:before="1"/>
              <w:ind w:left="258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Elérhetőség</w:t>
            </w:r>
            <w:proofErr w:type="spellEnd"/>
            <w:r>
              <w:rPr>
                <w:b/>
                <w:sz w:val="20"/>
              </w:rPr>
              <w:t xml:space="preserve">: </w:t>
            </w:r>
            <w:r>
              <w:rPr>
                <w:sz w:val="20"/>
              </w:rPr>
              <w:t xml:space="preserve">1117 Budapest, </w:t>
            </w:r>
            <w:proofErr w:type="spellStart"/>
            <w:r>
              <w:rPr>
                <w:sz w:val="20"/>
              </w:rPr>
              <w:t>Pázmány</w:t>
            </w:r>
            <w:proofErr w:type="spellEnd"/>
            <w:r>
              <w:rPr>
                <w:sz w:val="20"/>
              </w:rPr>
              <w:t xml:space="preserve"> P. </w:t>
            </w:r>
            <w:proofErr w:type="spellStart"/>
            <w:r>
              <w:rPr>
                <w:sz w:val="20"/>
              </w:rPr>
              <w:t>sétány</w:t>
            </w:r>
            <w:proofErr w:type="spellEnd"/>
            <w:r>
              <w:rPr>
                <w:sz w:val="20"/>
              </w:rPr>
              <w:t xml:space="preserve"> 1/a.</w:t>
            </w:r>
          </w:p>
          <w:p w:rsidR="00F4115B" w:rsidRDefault="00ED3236">
            <w:pPr>
              <w:pStyle w:val="TableParagraph"/>
              <w:ind w:left="409"/>
              <w:rPr>
                <w:sz w:val="20"/>
              </w:rPr>
            </w:pPr>
            <w:r>
              <w:rPr>
                <w:b/>
                <w:sz w:val="20"/>
              </w:rPr>
              <w:t xml:space="preserve">- </w:t>
            </w:r>
            <w:proofErr w:type="spellStart"/>
            <w:r>
              <w:rPr>
                <w:b/>
                <w:sz w:val="20"/>
              </w:rPr>
              <w:t>telefon</w:t>
            </w:r>
            <w:proofErr w:type="spellEnd"/>
            <w:r>
              <w:rPr>
                <w:b/>
                <w:sz w:val="20"/>
              </w:rPr>
              <w:t xml:space="preserve">: </w:t>
            </w:r>
            <w:r>
              <w:rPr>
                <w:color w:val="323232"/>
                <w:sz w:val="20"/>
              </w:rPr>
              <w:t>+36-1-372-2500 / 6430</w:t>
            </w:r>
          </w:p>
          <w:p w:rsidR="00F4115B" w:rsidRDefault="00ED3236">
            <w:pPr>
              <w:pStyle w:val="TableParagraph"/>
              <w:numPr>
                <w:ilvl w:val="0"/>
                <w:numId w:val="3"/>
              </w:numPr>
              <w:tabs>
                <w:tab w:val="left" w:pos="528"/>
              </w:tabs>
              <w:spacing w:before="1" w:line="210" w:lineRule="exact"/>
              <w:ind w:hanging="117"/>
              <w:rPr>
                <w:sz w:val="20"/>
              </w:rPr>
            </w:pPr>
            <w:r>
              <w:rPr>
                <w:b/>
                <w:sz w:val="20"/>
              </w:rPr>
              <w:t xml:space="preserve">e-mail: </w:t>
            </w:r>
            <w:hyperlink r:id="rId7">
              <w:r>
                <w:rPr>
                  <w:sz w:val="20"/>
                </w:rPr>
                <w:t>szobosz@chem.elte.hu</w:t>
              </w:r>
            </w:hyperlink>
          </w:p>
        </w:tc>
        <w:tc>
          <w:tcPr>
            <w:tcW w:w="5283" w:type="dxa"/>
            <w:gridSpan w:val="5"/>
          </w:tcPr>
          <w:p w:rsidR="00F4115B" w:rsidRDefault="00ED3236">
            <w:pPr>
              <w:pStyle w:val="TableParagraph"/>
              <w:ind w:left="10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Beosztás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tudományos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fokozat</w:t>
            </w:r>
            <w:proofErr w:type="spellEnd"/>
            <w:r>
              <w:rPr>
                <w:b/>
                <w:sz w:val="20"/>
              </w:rPr>
              <w:t>:</w:t>
            </w:r>
          </w:p>
          <w:p w:rsidR="00F4115B" w:rsidRDefault="00ED3236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 xml:space="preserve">professor emeritus, MTA </w:t>
            </w:r>
            <w:proofErr w:type="spellStart"/>
            <w:r>
              <w:rPr>
                <w:sz w:val="20"/>
              </w:rPr>
              <w:t>doktora</w:t>
            </w:r>
            <w:proofErr w:type="spellEnd"/>
          </w:p>
          <w:p w:rsidR="00F4115B" w:rsidRDefault="00F4115B">
            <w:pPr>
              <w:pStyle w:val="TableParagraph"/>
              <w:ind w:left="0"/>
            </w:pPr>
          </w:p>
          <w:p w:rsidR="00F4115B" w:rsidRDefault="00F4115B">
            <w:pPr>
              <w:pStyle w:val="TableParagraph"/>
              <w:ind w:left="0"/>
            </w:pPr>
          </w:p>
          <w:p w:rsidR="00F4115B" w:rsidRDefault="00F4115B">
            <w:pPr>
              <w:pStyle w:val="TableParagraph"/>
              <w:ind w:left="0"/>
            </w:pPr>
          </w:p>
          <w:p w:rsidR="00F4115B" w:rsidRDefault="00ED3236">
            <w:pPr>
              <w:pStyle w:val="TableParagraph"/>
              <w:spacing w:before="161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egyetemi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docens</w:t>
            </w:r>
            <w:proofErr w:type="spellEnd"/>
            <w:r>
              <w:rPr>
                <w:sz w:val="20"/>
              </w:rPr>
              <w:t xml:space="preserve">, MTA </w:t>
            </w:r>
            <w:proofErr w:type="spellStart"/>
            <w:r>
              <w:rPr>
                <w:sz w:val="20"/>
              </w:rPr>
              <w:t>doktora</w:t>
            </w:r>
            <w:proofErr w:type="spellEnd"/>
          </w:p>
        </w:tc>
      </w:tr>
      <w:tr w:rsidR="00F4115B">
        <w:trPr>
          <w:trHeight w:val="2068"/>
        </w:trPr>
        <w:tc>
          <w:tcPr>
            <w:tcW w:w="5103" w:type="dxa"/>
            <w:gridSpan w:val="5"/>
          </w:tcPr>
          <w:p w:rsidR="00F4115B" w:rsidRDefault="00ED3236">
            <w:pPr>
              <w:pStyle w:val="TableParagraph"/>
              <w:ind w:right="1155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 </w:t>
            </w:r>
            <w:proofErr w:type="spellStart"/>
            <w:r>
              <w:rPr>
                <w:b/>
                <w:sz w:val="20"/>
              </w:rPr>
              <w:t>tantárgy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oktatásában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résztvevő</w:t>
            </w:r>
            <w:proofErr w:type="spellEnd"/>
            <w:r>
              <w:rPr>
                <w:b/>
                <w:sz w:val="20"/>
              </w:rPr>
              <w:t>(k) neve(</w:t>
            </w:r>
            <w:proofErr w:type="spellStart"/>
            <w:r>
              <w:rPr>
                <w:b/>
                <w:sz w:val="20"/>
              </w:rPr>
              <w:t>i</w:t>
            </w:r>
            <w:proofErr w:type="spellEnd"/>
            <w:r>
              <w:rPr>
                <w:b/>
                <w:sz w:val="20"/>
              </w:rPr>
              <w:t>): (</w:t>
            </w:r>
            <w:proofErr w:type="spellStart"/>
            <w:r>
              <w:rPr>
                <w:b/>
                <w:sz w:val="20"/>
              </w:rPr>
              <w:t>elmélet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gyakorlat</w:t>
            </w:r>
            <w:proofErr w:type="spellEnd"/>
            <w:r>
              <w:rPr>
                <w:b/>
                <w:sz w:val="20"/>
              </w:rPr>
              <w:t>)</w:t>
            </w:r>
          </w:p>
          <w:p w:rsidR="00F4115B" w:rsidRDefault="00ED3236">
            <w:pPr>
              <w:pStyle w:val="TableParagraph"/>
              <w:spacing w:before="1"/>
              <w:ind w:right="3416"/>
              <w:rPr>
                <w:sz w:val="20"/>
              </w:rPr>
            </w:pPr>
            <w:r>
              <w:rPr>
                <w:sz w:val="20"/>
              </w:rPr>
              <w:t xml:space="preserve">Dr. </w:t>
            </w:r>
            <w:proofErr w:type="spellStart"/>
            <w:r>
              <w:rPr>
                <w:sz w:val="20"/>
              </w:rPr>
              <w:t>Mihucz</w:t>
            </w:r>
            <w:proofErr w:type="spellEnd"/>
            <w:r>
              <w:rPr>
                <w:sz w:val="20"/>
              </w:rPr>
              <w:t xml:space="preserve"> Viktor Dr. </w:t>
            </w:r>
            <w:proofErr w:type="spellStart"/>
            <w:r>
              <w:rPr>
                <w:sz w:val="20"/>
              </w:rPr>
              <w:t>Vasanits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Anikó</w:t>
            </w:r>
            <w:proofErr w:type="spellEnd"/>
          </w:p>
          <w:p w:rsidR="00F4115B" w:rsidRDefault="00ED3236">
            <w:pPr>
              <w:pStyle w:val="TableParagraph"/>
              <w:ind w:right="2344"/>
              <w:rPr>
                <w:sz w:val="20"/>
              </w:rPr>
            </w:pPr>
            <w:proofErr w:type="spellStart"/>
            <w:r>
              <w:rPr>
                <w:sz w:val="20"/>
              </w:rPr>
              <w:t>Ungvárainé</w:t>
            </w:r>
            <w:proofErr w:type="spellEnd"/>
            <w:r>
              <w:rPr>
                <w:sz w:val="20"/>
              </w:rPr>
              <w:t xml:space="preserve"> Dr. Nagy </w:t>
            </w:r>
            <w:proofErr w:type="spellStart"/>
            <w:r>
              <w:rPr>
                <w:sz w:val="20"/>
              </w:rPr>
              <w:t>Zsuzsanna</w:t>
            </w:r>
            <w:proofErr w:type="spellEnd"/>
            <w:r>
              <w:rPr>
                <w:sz w:val="20"/>
              </w:rPr>
              <w:t xml:space="preserve"> Dr. </w:t>
            </w:r>
            <w:proofErr w:type="spellStart"/>
            <w:r>
              <w:rPr>
                <w:sz w:val="20"/>
              </w:rPr>
              <w:t>Kovács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Krisztina</w:t>
            </w:r>
            <w:proofErr w:type="spellEnd"/>
          </w:p>
          <w:p w:rsidR="00F4115B" w:rsidRDefault="00ED3236">
            <w:pPr>
              <w:pStyle w:val="TableParagraph"/>
              <w:ind w:right="3116"/>
              <w:rPr>
                <w:sz w:val="20"/>
              </w:rPr>
            </w:pPr>
            <w:r>
              <w:rPr>
                <w:sz w:val="20"/>
              </w:rPr>
              <w:t xml:space="preserve">Dr. </w:t>
            </w:r>
            <w:proofErr w:type="spellStart"/>
            <w:r>
              <w:rPr>
                <w:sz w:val="20"/>
              </w:rPr>
              <w:t>Szoboszlai</w:t>
            </w:r>
            <w:proofErr w:type="spellEnd"/>
            <w:r>
              <w:rPr>
                <w:sz w:val="20"/>
              </w:rPr>
              <w:t xml:space="preserve"> Norbert </w:t>
            </w:r>
            <w:proofErr w:type="spellStart"/>
            <w:r>
              <w:rPr>
                <w:sz w:val="20"/>
              </w:rPr>
              <w:t>Dr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Szalai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István</w:t>
            </w:r>
            <w:proofErr w:type="spellEnd"/>
          </w:p>
          <w:p w:rsidR="00F4115B" w:rsidRDefault="00ED323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 xml:space="preserve">+ 2 </w:t>
            </w:r>
            <w:proofErr w:type="spellStart"/>
            <w:r>
              <w:rPr>
                <w:sz w:val="20"/>
              </w:rPr>
              <w:t>fő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doktorandsuz</w:t>
            </w:r>
            <w:proofErr w:type="spellEnd"/>
          </w:p>
        </w:tc>
        <w:tc>
          <w:tcPr>
            <w:tcW w:w="5283" w:type="dxa"/>
            <w:gridSpan w:val="5"/>
          </w:tcPr>
          <w:p w:rsidR="00F4115B" w:rsidRDefault="00ED3236">
            <w:pPr>
              <w:pStyle w:val="TableParagraph"/>
              <w:ind w:left="10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Beosztás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tudományos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fokozat</w:t>
            </w:r>
            <w:proofErr w:type="spellEnd"/>
            <w:r>
              <w:rPr>
                <w:b/>
                <w:sz w:val="20"/>
              </w:rPr>
              <w:t>:</w:t>
            </w:r>
          </w:p>
          <w:p w:rsidR="00F4115B" w:rsidRDefault="00F4115B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:rsidR="00F4115B" w:rsidRDefault="00ED3236">
            <w:pPr>
              <w:pStyle w:val="TableParagraph"/>
              <w:ind w:left="109" w:right="3583"/>
              <w:rPr>
                <w:sz w:val="20"/>
              </w:rPr>
            </w:pPr>
            <w:proofErr w:type="spellStart"/>
            <w:r>
              <w:rPr>
                <w:sz w:val="20"/>
              </w:rPr>
              <w:t>egyetemi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docens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egyetemi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adjunktus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egyetmi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docens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egyetemi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adjunktus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egyetemi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adjunktus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egyetemi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docnes</w:t>
            </w:r>
            <w:proofErr w:type="spellEnd"/>
          </w:p>
          <w:p w:rsidR="00F4115B" w:rsidRDefault="00ED3236">
            <w:pPr>
              <w:pStyle w:val="TableParagraph"/>
              <w:spacing w:line="207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PhD </w:t>
            </w:r>
            <w:proofErr w:type="spellStart"/>
            <w:r>
              <w:rPr>
                <w:sz w:val="20"/>
              </w:rPr>
              <w:t>hallgató</w:t>
            </w:r>
            <w:proofErr w:type="spellEnd"/>
          </w:p>
        </w:tc>
      </w:tr>
      <w:tr w:rsidR="00F4115B">
        <w:trPr>
          <w:trHeight w:val="921"/>
        </w:trPr>
        <w:tc>
          <w:tcPr>
            <w:tcW w:w="5103" w:type="dxa"/>
            <w:gridSpan w:val="5"/>
          </w:tcPr>
          <w:p w:rsidR="00F4115B" w:rsidRDefault="00ED3236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 </w:t>
            </w:r>
            <w:proofErr w:type="spellStart"/>
            <w:r>
              <w:rPr>
                <w:b/>
                <w:sz w:val="20"/>
              </w:rPr>
              <w:t>tantárgy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heti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óraszáma</w:t>
            </w:r>
            <w:proofErr w:type="spellEnd"/>
            <w:r>
              <w:rPr>
                <w:b/>
                <w:sz w:val="20"/>
              </w:rPr>
              <w:t>:</w:t>
            </w:r>
          </w:p>
          <w:p w:rsidR="00F4115B" w:rsidRDefault="00ED3236">
            <w:pPr>
              <w:pStyle w:val="TableParagraph"/>
              <w:ind w:left="2476"/>
              <w:rPr>
                <w:sz w:val="20"/>
              </w:rPr>
            </w:pPr>
            <w:r>
              <w:rPr>
                <w:sz w:val="20"/>
              </w:rPr>
              <w:t xml:space="preserve">5 </w:t>
            </w:r>
            <w:proofErr w:type="spellStart"/>
            <w:r>
              <w:rPr>
                <w:sz w:val="20"/>
              </w:rPr>
              <w:t>óra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előadás</w:t>
            </w:r>
            <w:proofErr w:type="spellEnd"/>
          </w:p>
          <w:p w:rsidR="00F4115B" w:rsidRDefault="00ED3236">
            <w:pPr>
              <w:pStyle w:val="TableParagraph"/>
              <w:spacing w:before="1"/>
              <w:ind w:left="2447"/>
              <w:rPr>
                <w:sz w:val="20"/>
              </w:rPr>
            </w:pPr>
            <w:r>
              <w:rPr>
                <w:sz w:val="20"/>
              </w:rPr>
              <w:t xml:space="preserve">5 </w:t>
            </w:r>
            <w:proofErr w:type="spellStart"/>
            <w:r>
              <w:rPr>
                <w:sz w:val="20"/>
              </w:rPr>
              <w:t>óra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gyakorlat</w:t>
            </w:r>
            <w:proofErr w:type="spellEnd"/>
          </w:p>
        </w:tc>
        <w:tc>
          <w:tcPr>
            <w:tcW w:w="5283" w:type="dxa"/>
            <w:gridSpan w:val="5"/>
          </w:tcPr>
          <w:p w:rsidR="00F4115B" w:rsidRDefault="00ED3236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 </w:t>
            </w:r>
            <w:proofErr w:type="spellStart"/>
            <w:r>
              <w:rPr>
                <w:b/>
                <w:sz w:val="20"/>
              </w:rPr>
              <w:t>tantárgy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kreditpontja</w:t>
            </w:r>
            <w:proofErr w:type="spellEnd"/>
            <w:r>
              <w:rPr>
                <w:b/>
                <w:sz w:val="20"/>
              </w:rPr>
              <w:t>:</w:t>
            </w:r>
          </w:p>
          <w:p w:rsidR="00F4115B" w:rsidRDefault="00ED3236">
            <w:pPr>
              <w:pStyle w:val="TableParagraph"/>
              <w:ind w:left="2360"/>
              <w:rPr>
                <w:sz w:val="20"/>
              </w:rPr>
            </w:pPr>
            <w:r>
              <w:rPr>
                <w:sz w:val="20"/>
              </w:rPr>
              <w:t xml:space="preserve">5 </w:t>
            </w:r>
            <w:proofErr w:type="spellStart"/>
            <w:r>
              <w:rPr>
                <w:sz w:val="20"/>
              </w:rPr>
              <w:t>kredit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elmélet</w:t>
            </w:r>
            <w:proofErr w:type="spellEnd"/>
            <w:r>
              <w:rPr>
                <w:sz w:val="20"/>
              </w:rPr>
              <w:t>)</w:t>
            </w:r>
          </w:p>
          <w:p w:rsidR="00F4115B" w:rsidRDefault="00ED3236">
            <w:pPr>
              <w:pStyle w:val="TableParagraph"/>
              <w:spacing w:before="1"/>
              <w:ind w:left="2360"/>
              <w:rPr>
                <w:sz w:val="20"/>
              </w:rPr>
            </w:pPr>
            <w:r>
              <w:rPr>
                <w:sz w:val="20"/>
              </w:rPr>
              <w:t>5 kredit (gyakorlat)</w:t>
            </w:r>
          </w:p>
        </w:tc>
      </w:tr>
      <w:tr w:rsidR="00F4115B">
        <w:trPr>
          <w:trHeight w:val="966"/>
        </w:trPr>
        <w:tc>
          <w:tcPr>
            <w:tcW w:w="10386" w:type="dxa"/>
            <w:gridSpan w:val="10"/>
          </w:tcPr>
          <w:p w:rsidR="00F4115B" w:rsidRDefault="00ED3236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 </w:t>
            </w:r>
            <w:proofErr w:type="spellStart"/>
            <w:r>
              <w:rPr>
                <w:b/>
                <w:sz w:val="20"/>
              </w:rPr>
              <w:t>tantárgy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feladata</w:t>
            </w:r>
            <w:proofErr w:type="spellEnd"/>
            <w:r>
              <w:rPr>
                <w:b/>
                <w:sz w:val="20"/>
              </w:rPr>
              <w:t xml:space="preserve"> a </w:t>
            </w:r>
            <w:proofErr w:type="spellStart"/>
            <w:r>
              <w:rPr>
                <w:b/>
                <w:sz w:val="20"/>
              </w:rPr>
              <w:t>szakképzés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céljának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megvalósításában</w:t>
            </w:r>
            <w:proofErr w:type="spellEnd"/>
            <w:r>
              <w:rPr>
                <w:b/>
                <w:sz w:val="20"/>
              </w:rPr>
              <w:t>:</w:t>
            </w:r>
          </w:p>
          <w:p w:rsidR="00F4115B" w:rsidRDefault="00ED3236">
            <w:pPr>
              <w:pStyle w:val="TableParagraph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Gyógyszerész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ismeretek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biztos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természettudományos</w:t>
            </w:r>
            <w:proofErr w:type="spellEnd"/>
            <w:r>
              <w:rPr>
                <w:b/>
                <w:i/>
                <w:sz w:val="20"/>
              </w:rPr>
              <w:t xml:space="preserve">, </w:t>
            </w:r>
            <w:proofErr w:type="spellStart"/>
            <w:r>
              <w:rPr>
                <w:b/>
                <w:i/>
                <w:sz w:val="20"/>
              </w:rPr>
              <w:t>kémiai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alapokra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helyezése</w:t>
            </w:r>
            <w:proofErr w:type="spellEnd"/>
            <w:r>
              <w:rPr>
                <w:b/>
                <w:i/>
                <w:sz w:val="20"/>
              </w:rPr>
              <w:t xml:space="preserve">, a </w:t>
            </w:r>
            <w:proofErr w:type="spellStart"/>
            <w:r>
              <w:rPr>
                <w:b/>
                <w:i/>
                <w:sz w:val="20"/>
              </w:rPr>
              <w:t>gyógyszertári</w:t>
            </w:r>
            <w:proofErr w:type="spellEnd"/>
            <w:r>
              <w:rPr>
                <w:b/>
                <w:i/>
                <w:sz w:val="20"/>
              </w:rPr>
              <w:t xml:space="preserve">, a </w:t>
            </w:r>
            <w:proofErr w:type="spellStart"/>
            <w:r>
              <w:rPr>
                <w:b/>
                <w:i/>
                <w:sz w:val="20"/>
              </w:rPr>
              <w:t>gyógyszergyári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és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gyógyszerkutatási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tevékenységekhez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szükséges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alapvető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ismeretek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átadása</w:t>
            </w:r>
            <w:proofErr w:type="spellEnd"/>
            <w:r>
              <w:rPr>
                <w:b/>
                <w:i/>
                <w:sz w:val="20"/>
              </w:rPr>
              <w:t>.</w:t>
            </w:r>
          </w:p>
        </w:tc>
      </w:tr>
      <w:tr w:rsidR="00F4115B">
        <w:trPr>
          <w:trHeight w:val="4139"/>
        </w:trPr>
        <w:tc>
          <w:tcPr>
            <w:tcW w:w="10386" w:type="dxa"/>
            <w:gridSpan w:val="10"/>
          </w:tcPr>
          <w:p w:rsidR="00F4115B" w:rsidRDefault="00ED3236"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 </w:t>
            </w:r>
            <w:proofErr w:type="spellStart"/>
            <w:r>
              <w:rPr>
                <w:b/>
                <w:sz w:val="20"/>
              </w:rPr>
              <w:t>tantárgy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rövid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leírása</w:t>
            </w:r>
            <w:proofErr w:type="spellEnd"/>
            <w:r>
              <w:rPr>
                <w:b/>
                <w:sz w:val="20"/>
              </w:rPr>
              <w:t>:</w:t>
            </w:r>
          </w:p>
          <w:p w:rsidR="00F4115B" w:rsidRDefault="00ED3236">
            <w:pPr>
              <w:pStyle w:val="TableParagraph"/>
              <w:ind w:right="95"/>
              <w:rPr>
                <w:sz w:val="20"/>
              </w:rPr>
            </w:pPr>
            <w:proofErr w:type="spellStart"/>
            <w:r>
              <w:rPr>
                <w:sz w:val="20"/>
              </w:rPr>
              <w:t>Az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atomszerkezet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alapjai</w:t>
            </w:r>
            <w:proofErr w:type="spellEnd"/>
            <w:r>
              <w:rPr>
                <w:sz w:val="20"/>
              </w:rPr>
              <w:t xml:space="preserve">. Elemi </w:t>
            </w:r>
            <w:proofErr w:type="spellStart"/>
            <w:r>
              <w:rPr>
                <w:sz w:val="20"/>
              </w:rPr>
              <w:t>és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szubelemi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részecskék</w:t>
            </w:r>
            <w:proofErr w:type="spellEnd"/>
            <w:r>
              <w:rPr>
                <w:sz w:val="20"/>
              </w:rPr>
              <w:t>. A Bohr-</w:t>
            </w:r>
            <w:proofErr w:type="spellStart"/>
            <w:r>
              <w:rPr>
                <w:sz w:val="20"/>
              </w:rPr>
              <w:t>féle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atommodell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Az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elektron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kettős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természete</w:t>
            </w:r>
            <w:proofErr w:type="spellEnd"/>
            <w:r>
              <w:rPr>
                <w:sz w:val="20"/>
              </w:rPr>
              <w:t>. A Heisenberg-</w:t>
            </w:r>
            <w:proofErr w:type="spellStart"/>
            <w:r>
              <w:rPr>
                <w:sz w:val="20"/>
              </w:rPr>
              <w:t>féle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bizonytalansági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elv</w:t>
            </w:r>
            <w:proofErr w:type="spellEnd"/>
            <w:r>
              <w:rPr>
                <w:sz w:val="20"/>
              </w:rPr>
              <w:t>. A Schrödinger-</w:t>
            </w:r>
            <w:proofErr w:type="spellStart"/>
            <w:r>
              <w:rPr>
                <w:sz w:val="20"/>
              </w:rPr>
              <w:t>egyenlet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és</w:t>
            </w:r>
            <w:proofErr w:type="spellEnd"/>
            <w:r>
              <w:rPr>
                <w:sz w:val="20"/>
              </w:rPr>
              <w:t xml:space="preserve"> a </w:t>
            </w:r>
            <w:proofErr w:type="spellStart"/>
            <w:r>
              <w:rPr>
                <w:sz w:val="20"/>
              </w:rPr>
              <w:t>kvantumszámok</w:t>
            </w:r>
            <w:proofErr w:type="spellEnd"/>
            <w:r>
              <w:rPr>
                <w:sz w:val="20"/>
              </w:rPr>
              <w:t>. A Pauli-</w:t>
            </w:r>
            <w:proofErr w:type="spellStart"/>
            <w:r>
              <w:rPr>
                <w:sz w:val="20"/>
              </w:rPr>
              <w:t>elv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és</w:t>
            </w:r>
            <w:proofErr w:type="spellEnd"/>
            <w:r>
              <w:rPr>
                <w:sz w:val="20"/>
              </w:rPr>
              <w:t xml:space="preserve"> a Hund-</w:t>
            </w:r>
            <w:proofErr w:type="spellStart"/>
            <w:r>
              <w:rPr>
                <w:sz w:val="20"/>
              </w:rPr>
              <w:t>szabály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Az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elektronpályák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energiája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beépülési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sorrendje</w:t>
            </w:r>
            <w:proofErr w:type="spellEnd"/>
            <w:r>
              <w:rPr>
                <w:sz w:val="20"/>
              </w:rPr>
              <w:t xml:space="preserve">. A </w:t>
            </w:r>
            <w:proofErr w:type="spellStart"/>
            <w:r>
              <w:rPr>
                <w:sz w:val="20"/>
              </w:rPr>
              <w:t>periódusos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rendszer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mezői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fő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tulajdonságai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Periodikus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tulajdonságok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Az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ionos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kötés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Kovalens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kötés</w:t>
            </w:r>
            <w:proofErr w:type="spellEnd"/>
            <w:r>
              <w:rPr>
                <w:sz w:val="20"/>
              </w:rPr>
              <w:t xml:space="preserve">. A </w:t>
            </w:r>
            <w:proofErr w:type="spellStart"/>
            <w:r>
              <w:rPr>
                <w:sz w:val="20"/>
              </w:rPr>
              <w:t>kovalens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kötés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ábrázolása</w:t>
            </w:r>
            <w:proofErr w:type="spellEnd"/>
            <w:r>
              <w:rPr>
                <w:sz w:val="20"/>
              </w:rPr>
              <w:t xml:space="preserve"> Lewis-</w:t>
            </w:r>
            <w:proofErr w:type="spellStart"/>
            <w:r>
              <w:rPr>
                <w:sz w:val="20"/>
              </w:rPr>
              <w:t>szerkezetekkel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Oktett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szabály</w:t>
            </w:r>
            <w:proofErr w:type="spellEnd"/>
            <w:r>
              <w:rPr>
                <w:sz w:val="20"/>
              </w:rPr>
              <w:t xml:space="preserve">. A </w:t>
            </w:r>
            <w:proofErr w:type="spellStart"/>
            <w:r>
              <w:rPr>
                <w:sz w:val="20"/>
              </w:rPr>
              <w:t>vegyérték-elektronpár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taszítási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elmélet</w:t>
            </w:r>
            <w:proofErr w:type="spellEnd"/>
            <w:r>
              <w:rPr>
                <w:sz w:val="20"/>
              </w:rPr>
              <w:t xml:space="preserve">. A </w:t>
            </w:r>
            <w:proofErr w:type="spellStart"/>
            <w:r>
              <w:rPr>
                <w:sz w:val="20"/>
              </w:rPr>
              <w:t>molekulák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geometriája</w:t>
            </w:r>
            <w:proofErr w:type="spellEnd"/>
            <w:r>
              <w:rPr>
                <w:sz w:val="20"/>
              </w:rPr>
              <w:t xml:space="preserve"> a </w:t>
            </w:r>
            <w:proofErr w:type="spellStart"/>
            <w:r>
              <w:rPr>
                <w:sz w:val="20"/>
              </w:rPr>
              <w:t>vegyérték-kötési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elmélet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alapján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Molekulapályák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kialakulása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Kötéspolaritás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molekulapolaritás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Mágneses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tulajdonságok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Az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elektronegativitás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meghatározása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Fémes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kötés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Gyenge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kötőerők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Kémiai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reakciók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típusai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Sztöchiometria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Az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anyag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halmazállapotai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Fázisdiagram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fázisszabály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Többkomponensű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rendszerek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oldatok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Híg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oldatok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törvényei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Molekulatömeg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meghatározása</w:t>
            </w:r>
            <w:proofErr w:type="spellEnd"/>
            <w:r>
              <w:rPr>
                <w:sz w:val="20"/>
              </w:rPr>
              <w:t xml:space="preserve"> a </w:t>
            </w:r>
            <w:proofErr w:type="spellStart"/>
            <w:r>
              <w:rPr>
                <w:sz w:val="20"/>
              </w:rPr>
              <w:t>kolligatív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tulajdonságok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alapján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Sav-bázis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elméletek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Elektródfolyamatok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Galvánelemek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Redoxi</w:t>
            </w:r>
            <w:proofErr w:type="spellEnd"/>
            <w:r>
              <w:rPr>
                <w:sz w:val="20"/>
              </w:rPr>
              <w:t xml:space="preserve">- </w:t>
            </w:r>
            <w:proofErr w:type="spellStart"/>
            <w:r>
              <w:rPr>
                <w:sz w:val="20"/>
              </w:rPr>
              <w:t>folyamatok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iránya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redoxipotenciál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Kémiai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egyensúlyok</w:t>
            </w:r>
            <w:proofErr w:type="spellEnd"/>
            <w:r>
              <w:rPr>
                <w:sz w:val="20"/>
              </w:rPr>
              <w:t xml:space="preserve">. A </w:t>
            </w:r>
            <w:proofErr w:type="spellStart"/>
            <w:r>
              <w:rPr>
                <w:sz w:val="20"/>
              </w:rPr>
              <w:t>tömeghatás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törvénye</w:t>
            </w:r>
            <w:proofErr w:type="spellEnd"/>
            <w:r>
              <w:rPr>
                <w:sz w:val="20"/>
              </w:rPr>
              <w:t xml:space="preserve">. A pH </w:t>
            </w:r>
            <w:proofErr w:type="spellStart"/>
            <w:r>
              <w:rPr>
                <w:sz w:val="20"/>
              </w:rPr>
              <w:t>és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számítása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Hidrolízis</w:t>
            </w:r>
            <w:proofErr w:type="spellEnd"/>
            <w:r>
              <w:rPr>
                <w:sz w:val="20"/>
              </w:rPr>
              <w:t>. Puffer-</w:t>
            </w:r>
            <w:proofErr w:type="spellStart"/>
            <w:r>
              <w:rPr>
                <w:sz w:val="20"/>
              </w:rPr>
              <w:t>rendszerek</w:t>
            </w:r>
            <w:proofErr w:type="spellEnd"/>
            <w:r>
              <w:rPr>
                <w:sz w:val="20"/>
              </w:rPr>
              <w:t>. pH-</w:t>
            </w:r>
            <w:proofErr w:type="spellStart"/>
            <w:r>
              <w:rPr>
                <w:sz w:val="20"/>
              </w:rPr>
              <w:t>függő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betegségek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Komplexképződési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egyensúlyok</w:t>
            </w:r>
            <w:proofErr w:type="spellEnd"/>
            <w:r>
              <w:rPr>
                <w:sz w:val="20"/>
              </w:rPr>
              <w:t xml:space="preserve">. A Lewis- </w:t>
            </w:r>
            <w:proofErr w:type="spellStart"/>
            <w:r>
              <w:rPr>
                <w:sz w:val="20"/>
              </w:rPr>
              <w:t>féle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sav-bázis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elmélet</w:t>
            </w:r>
            <w:proofErr w:type="spellEnd"/>
            <w:r>
              <w:rPr>
                <w:sz w:val="20"/>
              </w:rPr>
              <w:t xml:space="preserve"> Pearson-</w:t>
            </w:r>
            <w:proofErr w:type="spellStart"/>
            <w:r>
              <w:rPr>
                <w:sz w:val="20"/>
              </w:rPr>
              <w:t>féle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értelmezése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Heterogén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egyensúlyok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Foglyukadás</w:t>
            </w:r>
            <w:proofErr w:type="spellEnd"/>
            <w:r>
              <w:rPr>
                <w:sz w:val="20"/>
              </w:rPr>
              <w:t xml:space="preserve"> mint </w:t>
            </w:r>
            <w:proofErr w:type="spellStart"/>
            <w:r>
              <w:rPr>
                <w:sz w:val="20"/>
              </w:rPr>
              <w:t>heterogén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egyensúlyi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reakció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Kémiai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kinetika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Reakciórend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molekularitás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Radiokarbon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egyéb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kormeghatározások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Reakciómechanizmusok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Katalizátorok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homogén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heterogén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katalízis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Autokatalitikus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indukált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oszcilláló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reakciók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Termokémia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Fajhő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hőkapacitás</w:t>
            </w:r>
            <w:proofErr w:type="spellEnd"/>
            <w:r>
              <w:rPr>
                <w:sz w:val="20"/>
              </w:rPr>
              <w:t xml:space="preserve">, endo- </w:t>
            </w:r>
            <w:proofErr w:type="spellStart"/>
            <w:r>
              <w:rPr>
                <w:sz w:val="20"/>
              </w:rPr>
              <w:t>és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exoterm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reakciók</w:t>
            </w:r>
            <w:proofErr w:type="spellEnd"/>
            <w:r>
              <w:rPr>
                <w:sz w:val="20"/>
              </w:rPr>
              <w:t xml:space="preserve">. Hess </w:t>
            </w:r>
            <w:proofErr w:type="spellStart"/>
            <w:r>
              <w:rPr>
                <w:sz w:val="20"/>
              </w:rPr>
              <w:t>tétele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Kémia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folyamatok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belső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energia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entalpia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változásai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Entrópia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Szabad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entalpia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Kémiai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folyamatok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spontaneitása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Sugárhatás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kémia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és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fotokémia</w:t>
            </w:r>
            <w:proofErr w:type="spellEnd"/>
            <w:r>
              <w:rPr>
                <w:sz w:val="20"/>
              </w:rPr>
              <w:t>.</w:t>
            </w:r>
          </w:p>
          <w:p w:rsidR="0095639E" w:rsidRDefault="0095639E" w:rsidP="0095639E">
            <w:pPr>
              <w:pStyle w:val="TableParagraph"/>
              <w:ind w:left="0" w:right="95"/>
              <w:rPr>
                <w:sz w:val="20"/>
              </w:rPr>
            </w:pPr>
          </w:p>
          <w:p w:rsidR="0095639E" w:rsidRDefault="0095639E">
            <w:pPr>
              <w:pStyle w:val="TableParagraph"/>
              <w:ind w:right="95"/>
              <w:rPr>
                <w:sz w:val="20"/>
              </w:rPr>
            </w:pPr>
          </w:p>
        </w:tc>
      </w:tr>
      <w:tr w:rsidR="00F4115B">
        <w:trPr>
          <w:trHeight w:val="230"/>
        </w:trPr>
        <w:tc>
          <w:tcPr>
            <w:tcW w:w="10386" w:type="dxa"/>
            <w:gridSpan w:val="10"/>
          </w:tcPr>
          <w:p w:rsidR="00F4115B" w:rsidRDefault="00ED3236">
            <w:pPr>
              <w:pStyle w:val="TableParagraph"/>
              <w:spacing w:line="210" w:lineRule="exact"/>
              <w:ind w:left="3452" w:right="3443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Az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adott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félévi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kurzusra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vonatkozó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adatok</w:t>
            </w:r>
            <w:proofErr w:type="spellEnd"/>
          </w:p>
        </w:tc>
      </w:tr>
      <w:tr w:rsidR="00F4115B">
        <w:trPr>
          <w:trHeight w:val="741"/>
        </w:trPr>
        <w:tc>
          <w:tcPr>
            <w:tcW w:w="1402" w:type="dxa"/>
            <w:gridSpan w:val="2"/>
          </w:tcPr>
          <w:p w:rsidR="00F4115B" w:rsidRDefault="00ED3236">
            <w:pPr>
              <w:pStyle w:val="TableParagraph"/>
              <w:spacing w:before="119"/>
              <w:ind w:left="158" w:right="129" w:firstLine="33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Tárgyfelvétel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ajánlott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féléve</w:t>
            </w:r>
            <w:proofErr w:type="spellEnd"/>
          </w:p>
        </w:tc>
        <w:tc>
          <w:tcPr>
            <w:tcW w:w="1265" w:type="dxa"/>
          </w:tcPr>
          <w:p w:rsidR="00F4115B" w:rsidRDefault="00ED3236">
            <w:pPr>
              <w:pStyle w:val="TableParagraph"/>
              <w:spacing w:before="59"/>
              <w:ind w:left="313" w:right="300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Kontakt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elméleti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óra</w:t>
            </w:r>
            <w:proofErr w:type="spellEnd"/>
          </w:p>
        </w:tc>
        <w:tc>
          <w:tcPr>
            <w:tcW w:w="1080" w:type="dxa"/>
          </w:tcPr>
          <w:p w:rsidR="00F4115B" w:rsidRDefault="00ED3236">
            <w:pPr>
              <w:pStyle w:val="TableParagraph"/>
              <w:spacing w:before="59"/>
              <w:ind w:left="145" w:right="135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Kontakt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gyakorlati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óra</w:t>
            </w:r>
            <w:proofErr w:type="spellEnd"/>
          </w:p>
        </w:tc>
        <w:tc>
          <w:tcPr>
            <w:tcW w:w="1356" w:type="dxa"/>
          </w:tcPr>
          <w:p w:rsidR="00F4115B" w:rsidRDefault="00ED3236">
            <w:pPr>
              <w:pStyle w:val="TableParagraph"/>
              <w:spacing w:before="59"/>
              <w:ind w:left="124" w:firstLine="235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Kontakt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demonstrációs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gyakorlati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óra</w:t>
            </w:r>
            <w:proofErr w:type="spellEnd"/>
          </w:p>
        </w:tc>
        <w:tc>
          <w:tcPr>
            <w:tcW w:w="847" w:type="dxa"/>
          </w:tcPr>
          <w:p w:rsidR="00F4115B" w:rsidRDefault="00ED3236">
            <w:pPr>
              <w:pStyle w:val="TableParagraph"/>
              <w:spacing w:before="163"/>
              <w:ind w:left="294" w:right="127" w:hanging="135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Egyéni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óra</w:t>
            </w:r>
            <w:proofErr w:type="spellEnd"/>
          </w:p>
        </w:tc>
        <w:tc>
          <w:tcPr>
            <w:tcW w:w="765" w:type="dxa"/>
          </w:tcPr>
          <w:p w:rsidR="00F4115B" w:rsidRDefault="00ED3236">
            <w:pPr>
              <w:pStyle w:val="TableParagraph"/>
              <w:spacing w:before="163"/>
              <w:ind w:left="253" w:right="97" w:hanging="125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Összes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óra</w:t>
            </w:r>
            <w:proofErr w:type="spellEnd"/>
          </w:p>
        </w:tc>
        <w:tc>
          <w:tcPr>
            <w:tcW w:w="2157" w:type="dxa"/>
          </w:tcPr>
          <w:p w:rsidR="00F4115B" w:rsidRDefault="00ED3236">
            <w:pPr>
              <w:pStyle w:val="TableParagraph"/>
              <w:spacing w:before="163"/>
              <w:ind w:left="614" w:right="582" w:hanging="15"/>
              <w:rPr>
                <w:b/>
                <w:sz w:val="18"/>
              </w:rPr>
            </w:pPr>
            <w:proofErr w:type="spellStart"/>
            <w:r>
              <w:rPr>
                <w:b/>
                <w:w w:val="95"/>
                <w:sz w:val="18"/>
              </w:rPr>
              <w:t>Meghirdetés</w:t>
            </w:r>
            <w:proofErr w:type="spellEnd"/>
            <w:r>
              <w:rPr>
                <w:b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gyakorisága</w:t>
            </w:r>
            <w:proofErr w:type="spellEnd"/>
          </w:p>
        </w:tc>
        <w:tc>
          <w:tcPr>
            <w:tcW w:w="1514" w:type="dxa"/>
            <w:gridSpan w:val="2"/>
          </w:tcPr>
          <w:p w:rsidR="00F4115B" w:rsidRDefault="00ED3236">
            <w:pPr>
              <w:pStyle w:val="TableParagraph"/>
              <w:spacing w:before="163"/>
              <w:ind w:left="519" w:right="208" w:hanging="274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Konzultációk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száma</w:t>
            </w:r>
            <w:proofErr w:type="spellEnd"/>
          </w:p>
        </w:tc>
      </w:tr>
    </w:tbl>
    <w:p w:rsidR="00F4115B" w:rsidRDefault="00F4115B">
      <w:pPr>
        <w:rPr>
          <w:sz w:val="18"/>
        </w:rPr>
        <w:sectPr w:rsidR="00F4115B">
          <w:type w:val="continuous"/>
          <w:pgSz w:w="11900" w:h="16840"/>
          <w:pgMar w:top="1120" w:right="420" w:bottom="280" w:left="860" w:header="708" w:footer="708" w:gutter="0"/>
          <w:cols w:space="708"/>
        </w:sect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78"/>
        <w:gridCol w:w="1265"/>
        <w:gridCol w:w="1080"/>
        <w:gridCol w:w="1356"/>
        <w:gridCol w:w="847"/>
        <w:gridCol w:w="765"/>
        <w:gridCol w:w="2157"/>
        <w:gridCol w:w="1271"/>
        <w:gridCol w:w="239"/>
      </w:tblGrid>
      <w:tr w:rsidR="00F4115B">
        <w:trPr>
          <w:trHeight w:val="1379"/>
        </w:trPr>
        <w:tc>
          <w:tcPr>
            <w:tcW w:w="1378" w:type="dxa"/>
          </w:tcPr>
          <w:p w:rsidR="00F4115B" w:rsidRDefault="00F4115B">
            <w:pPr>
              <w:pStyle w:val="TableParagraph"/>
              <w:ind w:left="0"/>
            </w:pPr>
          </w:p>
          <w:p w:rsidR="00F4115B" w:rsidRDefault="00F4115B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:rsidR="00F4115B" w:rsidRDefault="00ED3236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I. </w:t>
            </w:r>
            <w:proofErr w:type="spellStart"/>
            <w:r>
              <w:rPr>
                <w:sz w:val="20"/>
              </w:rPr>
              <w:t>félévtől</w:t>
            </w:r>
            <w:proofErr w:type="spellEnd"/>
          </w:p>
        </w:tc>
        <w:tc>
          <w:tcPr>
            <w:tcW w:w="1265" w:type="dxa"/>
          </w:tcPr>
          <w:p w:rsidR="00F4115B" w:rsidRDefault="00F4115B">
            <w:pPr>
              <w:pStyle w:val="TableParagraph"/>
              <w:ind w:left="0"/>
            </w:pPr>
          </w:p>
          <w:p w:rsidR="00F4115B" w:rsidRDefault="00F4115B">
            <w:pPr>
              <w:pStyle w:val="TableParagraph"/>
              <w:spacing w:before="10"/>
              <w:ind w:left="0"/>
              <w:rPr>
                <w:sz w:val="27"/>
              </w:rPr>
            </w:pPr>
          </w:p>
          <w:p w:rsidR="00F4115B" w:rsidRDefault="00ED3236">
            <w:pPr>
              <w:pStyle w:val="TableParagraph"/>
              <w:ind w:left="309" w:right="300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080" w:type="dxa"/>
          </w:tcPr>
          <w:p w:rsidR="00F4115B" w:rsidRDefault="00F4115B">
            <w:pPr>
              <w:pStyle w:val="TableParagraph"/>
              <w:ind w:left="0"/>
            </w:pPr>
          </w:p>
          <w:p w:rsidR="00F4115B" w:rsidRDefault="00F4115B">
            <w:pPr>
              <w:pStyle w:val="TableParagraph"/>
              <w:spacing w:before="10"/>
              <w:ind w:left="0"/>
              <w:rPr>
                <w:sz w:val="27"/>
              </w:rPr>
            </w:pPr>
          </w:p>
          <w:p w:rsidR="00F4115B" w:rsidRDefault="00ED3236">
            <w:pPr>
              <w:pStyle w:val="TableParagraph"/>
              <w:ind w:left="142" w:right="135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356" w:type="dxa"/>
          </w:tcPr>
          <w:p w:rsidR="00F4115B" w:rsidRDefault="00F4115B">
            <w:pPr>
              <w:pStyle w:val="TableParagraph"/>
              <w:ind w:left="0"/>
            </w:pPr>
          </w:p>
          <w:p w:rsidR="00F4115B" w:rsidRDefault="00F4115B">
            <w:pPr>
              <w:pStyle w:val="TableParagraph"/>
              <w:spacing w:before="10"/>
              <w:ind w:left="0"/>
              <w:rPr>
                <w:sz w:val="27"/>
              </w:rPr>
            </w:pPr>
          </w:p>
          <w:p w:rsidR="00F4115B" w:rsidRDefault="00ED3236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47" w:type="dxa"/>
          </w:tcPr>
          <w:p w:rsidR="00F4115B" w:rsidRDefault="00F4115B">
            <w:pPr>
              <w:pStyle w:val="TableParagraph"/>
              <w:ind w:left="0"/>
            </w:pPr>
          </w:p>
          <w:p w:rsidR="00F4115B" w:rsidRDefault="00F4115B">
            <w:pPr>
              <w:pStyle w:val="TableParagraph"/>
              <w:spacing w:before="10"/>
              <w:ind w:left="0"/>
              <w:rPr>
                <w:sz w:val="27"/>
              </w:rPr>
            </w:pPr>
          </w:p>
          <w:p w:rsidR="00F4115B" w:rsidRDefault="00ED3236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765" w:type="dxa"/>
          </w:tcPr>
          <w:p w:rsidR="00F4115B" w:rsidRDefault="00F4115B">
            <w:pPr>
              <w:pStyle w:val="TableParagraph"/>
              <w:ind w:left="0"/>
            </w:pPr>
          </w:p>
          <w:p w:rsidR="00F4115B" w:rsidRDefault="00F4115B">
            <w:pPr>
              <w:pStyle w:val="TableParagraph"/>
              <w:spacing w:before="10"/>
              <w:ind w:left="0"/>
              <w:rPr>
                <w:sz w:val="27"/>
              </w:rPr>
            </w:pPr>
          </w:p>
          <w:p w:rsidR="00F4115B" w:rsidRDefault="00ED3236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2157" w:type="dxa"/>
          </w:tcPr>
          <w:p w:rsidR="00F4115B" w:rsidRDefault="00ED3236">
            <w:pPr>
              <w:pStyle w:val="TableParagraph"/>
              <w:spacing w:line="235" w:lineRule="auto"/>
              <w:ind w:left="110" w:right="158"/>
              <w:rPr>
                <w:sz w:val="13"/>
              </w:rPr>
            </w:pPr>
            <w:proofErr w:type="spellStart"/>
            <w:r>
              <w:rPr>
                <w:sz w:val="20"/>
              </w:rPr>
              <w:t>Őszi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szemeszterben</w:t>
            </w:r>
            <w:proofErr w:type="spellEnd"/>
            <w:r>
              <w:rPr>
                <w:position w:val="7"/>
                <w:sz w:val="13"/>
              </w:rPr>
              <w:t xml:space="preserve">* </w:t>
            </w:r>
            <w:proofErr w:type="spellStart"/>
            <w:r>
              <w:rPr>
                <w:sz w:val="20"/>
              </w:rPr>
              <w:t>Tavaszi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szemeszter</w:t>
            </w:r>
            <w:proofErr w:type="spellEnd"/>
            <w:r>
              <w:rPr>
                <w:position w:val="7"/>
                <w:sz w:val="13"/>
              </w:rPr>
              <w:t xml:space="preserve">* </w:t>
            </w:r>
            <w:proofErr w:type="spellStart"/>
            <w:r>
              <w:rPr>
                <w:sz w:val="20"/>
              </w:rPr>
              <w:t>Minkét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szemeszterben</w:t>
            </w:r>
            <w:proofErr w:type="spellEnd"/>
            <w:r>
              <w:rPr>
                <w:position w:val="7"/>
                <w:sz w:val="13"/>
              </w:rPr>
              <w:t>*</w:t>
            </w:r>
          </w:p>
          <w:p w:rsidR="00F4115B" w:rsidRDefault="00F4115B">
            <w:pPr>
              <w:pStyle w:val="TableParagraph"/>
              <w:spacing w:before="6"/>
              <w:ind w:left="0"/>
              <w:rPr>
                <w:sz w:val="19"/>
              </w:rPr>
            </w:pPr>
          </w:p>
          <w:p w:rsidR="00F4115B" w:rsidRDefault="00ED3236">
            <w:pPr>
              <w:pStyle w:val="TableParagraph"/>
              <w:spacing w:line="230" w:lineRule="atLeast"/>
              <w:ind w:left="110" w:right="582" w:hanging="1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position w:val="7"/>
                <w:sz w:val="13"/>
              </w:rPr>
              <w:t xml:space="preserve">* </w:t>
            </w:r>
            <w:proofErr w:type="spellStart"/>
            <w:r>
              <w:rPr>
                <w:sz w:val="20"/>
              </w:rPr>
              <w:t>Megfelelő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aláhúzandó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510" w:type="dxa"/>
            <w:gridSpan w:val="2"/>
          </w:tcPr>
          <w:p w:rsidR="00F4115B" w:rsidRDefault="00F4115B">
            <w:pPr>
              <w:pStyle w:val="TableParagraph"/>
              <w:ind w:left="0"/>
            </w:pPr>
          </w:p>
          <w:p w:rsidR="00F4115B" w:rsidRDefault="00F4115B">
            <w:pPr>
              <w:pStyle w:val="TableParagraph"/>
              <w:spacing w:before="10"/>
              <w:ind w:left="0"/>
              <w:rPr>
                <w:sz w:val="27"/>
              </w:rPr>
            </w:pPr>
          </w:p>
          <w:p w:rsidR="00F4115B" w:rsidRDefault="00ED3236"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F4115B">
        <w:trPr>
          <w:trHeight w:val="230"/>
        </w:trPr>
        <w:tc>
          <w:tcPr>
            <w:tcW w:w="10119" w:type="dxa"/>
            <w:gridSpan w:val="8"/>
          </w:tcPr>
          <w:p w:rsidR="00F4115B" w:rsidRDefault="00ED3236">
            <w:pPr>
              <w:pStyle w:val="TableParagraph"/>
              <w:spacing w:line="210" w:lineRule="exact"/>
              <w:ind w:left="3793" w:right="378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A </w:t>
            </w:r>
            <w:proofErr w:type="spellStart"/>
            <w:r>
              <w:rPr>
                <w:b/>
                <w:i/>
                <w:sz w:val="20"/>
              </w:rPr>
              <w:t>kurzus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oktatásának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időterve</w:t>
            </w:r>
            <w:proofErr w:type="spellEnd"/>
          </w:p>
        </w:tc>
        <w:tc>
          <w:tcPr>
            <w:tcW w:w="239" w:type="dxa"/>
            <w:vMerge w:val="restart"/>
            <w:tcBorders>
              <w:bottom w:val="nil"/>
              <w:right w:val="nil"/>
            </w:tcBorders>
          </w:tcPr>
          <w:p w:rsidR="00F4115B" w:rsidRDefault="00F4115B">
            <w:pPr>
              <w:pStyle w:val="TableParagraph"/>
              <w:ind w:left="0"/>
              <w:rPr>
                <w:sz w:val="18"/>
              </w:rPr>
            </w:pPr>
          </w:p>
        </w:tc>
      </w:tr>
      <w:tr w:rsidR="00F4115B">
        <w:trPr>
          <w:trHeight w:val="6945"/>
        </w:trPr>
        <w:tc>
          <w:tcPr>
            <w:tcW w:w="10119" w:type="dxa"/>
            <w:gridSpan w:val="8"/>
          </w:tcPr>
          <w:p w:rsidR="00F4115B" w:rsidRDefault="00ED3236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Elméleti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órák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tematikája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heti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bontásban</w:t>
            </w:r>
            <w:proofErr w:type="spellEnd"/>
            <w:r>
              <w:rPr>
                <w:sz w:val="20"/>
              </w:rPr>
              <w:t>):</w:t>
            </w:r>
          </w:p>
          <w:p w:rsidR="00F4115B" w:rsidRDefault="00ED3236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ind w:right="393"/>
              <w:rPr>
                <w:sz w:val="20"/>
              </w:rPr>
            </w:pPr>
            <w:proofErr w:type="spellStart"/>
            <w:r>
              <w:rPr>
                <w:sz w:val="20"/>
              </w:rPr>
              <w:t>hét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Az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atomszerkezet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alapjai</w:t>
            </w:r>
            <w:proofErr w:type="spellEnd"/>
            <w:r>
              <w:rPr>
                <w:sz w:val="20"/>
              </w:rPr>
              <w:t xml:space="preserve"> I. </w:t>
            </w:r>
            <w:proofErr w:type="spellStart"/>
            <w:r>
              <w:rPr>
                <w:sz w:val="20"/>
              </w:rPr>
              <w:t>Kvarkok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leptonok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bozonok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Elektron</w:t>
            </w:r>
            <w:proofErr w:type="spellEnd"/>
            <w:r>
              <w:rPr>
                <w:sz w:val="20"/>
              </w:rPr>
              <w:t xml:space="preserve">, proton, neutron. </w:t>
            </w:r>
            <w:proofErr w:type="spellStart"/>
            <w:r>
              <w:rPr>
                <w:sz w:val="20"/>
              </w:rPr>
              <w:t>Az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elektron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töltésének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meghatározása</w:t>
            </w:r>
            <w:proofErr w:type="spellEnd"/>
            <w:r>
              <w:rPr>
                <w:sz w:val="20"/>
              </w:rPr>
              <w:t>.</w:t>
            </w:r>
          </w:p>
          <w:p w:rsidR="00F4115B" w:rsidRDefault="00ED3236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ind w:right="1186"/>
              <w:rPr>
                <w:sz w:val="20"/>
              </w:rPr>
            </w:pPr>
            <w:proofErr w:type="spellStart"/>
            <w:r>
              <w:rPr>
                <w:sz w:val="20"/>
              </w:rPr>
              <w:t>Hét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Bohr-</w:t>
            </w:r>
            <w:proofErr w:type="spellStart"/>
            <w:r>
              <w:rPr>
                <w:sz w:val="20"/>
              </w:rPr>
              <w:t>féle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atommodell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Az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elektron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kettős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természete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részecske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és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hullám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Heisenberg-</w:t>
            </w:r>
            <w:proofErr w:type="spellStart"/>
            <w:r>
              <w:rPr>
                <w:sz w:val="20"/>
              </w:rPr>
              <w:t>féle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bizonytalansági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elv</w:t>
            </w:r>
            <w:proofErr w:type="spellEnd"/>
            <w:r>
              <w:rPr>
                <w:sz w:val="20"/>
              </w:rPr>
              <w:t>.</w:t>
            </w:r>
          </w:p>
          <w:p w:rsidR="00F4115B" w:rsidRDefault="00ED3236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ind w:right="199"/>
              <w:rPr>
                <w:sz w:val="20"/>
              </w:rPr>
            </w:pPr>
            <w:proofErr w:type="spellStart"/>
            <w:r>
              <w:rPr>
                <w:sz w:val="20"/>
              </w:rPr>
              <w:t>Hét</w:t>
            </w:r>
            <w:proofErr w:type="spellEnd"/>
            <w:r>
              <w:rPr>
                <w:sz w:val="20"/>
              </w:rPr>
              <w:t xml:space="preserve">: A </w:t>
            </w:r>
            <w:proofErr w:type="spellStart"/>
            <w:r>
              <w:rPr>
                <w:sz w:val="20"/>
              </w:rPr>
              <w:t>Schrődinger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egyenlet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és</w:t>
            </w:r>
            <w:proofErr w:type="spellEnd"/>
            <w:r>
              <w:rPr>
                <w:sz w:val="20"/>
              </w:rPr>
              <w:t xml:space="preserve"> a </w:t>
            </w:r>
            <w:proofErr w:type="spellStart"/>
            <w:r>
              <w:rPr>
                <w:sz w:val="20"/>
              </w:rPr>
              <w:t>kvantumszámok</w:t>
            </w:r>
            <w:proofErr w:type="spellEnd"/>
            <w:r>
              <w:rPr>
                <w:sz w:val="20"/>
              </w:rPr>
              <w:t xml:space="preserve">. A Pauli </w:t>
            </w:r>
            <w:proofErr w:type="spellStart"/>
            <w:r>
              <w:rPr>
                <w:sz w:val="20"/>
              </w:rPr>
              <w:t>elv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és</w:t>
            </w:r>
            <w:proofErr w:type="spellEnd"/>
            <w:r>
              <w:rPr>
                <w:sz w:val="20"/>
              </w:rPr>
              <w:t xml:space="preserve"> a Hund </w:t>
            </w:r>
            <w:proofErr w:type="spellStart"/>
            <w:r>
              <w:rPr>
                <w:sz w:val="20"/>
              </w:rPr>
              <w:t>szabály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Az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elektronpályák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energiája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beépülési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sorrendje</w:t>
            </w:r>
            <w:proofErr w:type="spellEnd"/>
            <w:r>
              <w:rPr>
                <w:sz w:val="20"/>
              </w:rPr>
              <w:t>.</w:t>
            </w:r>
          </w:p>
          <w:p w:rsidR="00F4115B" w:rsidRDefault="00ED3236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ind w:right="817"/>
              <w:rPr>
                <w:sz w:val="20"/>
              </w:rPr>
            </w:pPr>
            <w:proofErr w:type="spellStart"/>
            <w:r>
              <w:rPr>
                <w:sz w:val="20"/>
              </w:rPr>
              <w:t>Hét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periódusos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rendszer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mezői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és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fő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tulajdonságai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Periodikus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tulajdonságok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atomrádiusz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ionrádiusz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ionizációs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potenciál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elektronaffinitás</w:t>
            </w:r>
            <w:proofErr w:type="spellEnd"/>
            <w:r>
              <w:rPr>
                <w:sz w:val="20"/>
              </w:rPr>
              <w:t>.</w:t>
            </w:r>
          </w:p>
          <w:p w:rsidR="00F4115B" w:rsidRDefault="00ED3236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ind w:right="439"/>
              <w:rPr>
                <w:sz w:val="20"/>
              </w:rPr>
            </w:pPr>
            <w:proofErr w:type="spellStart"/>
            <w:r>
              <w:rPr>
                <w:sz w:val="20"/>
              </w:rPr>
              <w:t>Hét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Ionos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kötés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az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ionok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típusai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Kovalens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kötés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ábrázolása</w:t>
            </w:r>
            <w:proofErr w:type="spellEnd"/>
            <w:r>
              <w:rPr>
                <w:sz w:val="20"/>
              </w:rPr>
              <w:t xml:space="preserve"> Lewis </w:t>
            </w:r>
            <w:proofErr w:type="spellStart"/>
            <w:r>
              <w:rPr>
                <w:sz w:val="20"/>
              </w:rPr>
              <w:t>szerkezetekkel</w:t>
            </w:r>
            <w:proofErr w:type="spellEnd"/>
            <w:r>
              <w:rPr>
                <w:sz w:val="20"/>
              </w:rPr>
              <w:t xml:space="preserve">. A Lewis </w:t>
            </w:r>
            <w:proofErr w:type="spellStart"/>
            <w:r>
              <w:rPr>
                <w:sz w:val="20"/>
              </w:rPr>
              <w:t>szerkezetes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ábrázolás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hiányosságai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Kivételek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az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oktett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szabály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alól</w:t>
            </w:r>
            <w:proofErr w:type="spellEnd"/>
            <w:r>
              <w:rPr>
                <w:sz w:val="20"/>
              </w:rPr>
              <w:t>.</w:t>
            </w:r>
          </w:p>
          <w:p w:rsidR="00F4115B" w:rsidRDefault="00ED3236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ind w:right="455"/>
              <w:rPr>
                <w:sz w:val="20"/>
              </w:rPr>
            </w:pPr>
            <w:proofErr w:type="spellStart"/>
            <w:r>
              <w:rPr>
                <w:sz w:val="20"/>
              </w:rPr>
              <w:t>Hét</w:t>
            </w:r>
            <w:proofErr w:type="spellEnd"/>
            <w:r>
              <w:rPr>
                <w:sz w:val="20"/>
              </w:rPr>
              <w:t xml:space="preserve">: A </w:t>
            </w:r>
            <w:proofErr w:type="spellStart"/>
            <w:r>
              <w:rPr>
                <w:sz w:val="20"/>
              </w:rPr>
              <w:t>vegyértékkötés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elmélet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Elektronpályák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hibridizációja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Molekulák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geometriája</w:t>
            </w:r>
            <w:proofErr w:type="spellEnd"/>
            <w:r>
              <w:rPr>
                <w:sz w:val="20"/>
              </w:rPr>
              <w:t xml:space="preserve"> a </w:t>
            </w:r>
            <w:proofErr w:type="spellStart"/>
            <w:r>
              <w:rPr>
                <w:sz w:val="20"/>
              </w:rPr>
              <w:t>vegyértékelektronpár</w:t>
            </w:r>
            <w:proofErr w:type="spellEnd"/>
            <w:r>
              <w:rPr>
                <w:sz w:val="20"/>
              </w:rPr>
              <w:t xml:space="preserve">- </w:t>
            </w:r>
            <w:proofErr w:type="spellStart"/>
            <w:r>
              <w:rPr>
                <w:sz w:val="20"/>
              </w:rPr>
              <w:t>taszítási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elmélet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alapján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Molekulapályák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kialakulása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példákkal</w:t>
            </w:r>
            <w:proofErr w:type="spellEnd"/>
            <w:r>
              <w:rPr>
                <w:sz w:val="20"/>
              </w:rPr>
              <w:t>.</w:t>
            </w:r>
          </w:p>
          <w:p w:rsidR="00F4115B" w:rsidRDefault="00ED3236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ind w:right="460"/>
              <w:rPr>
                <w:sz w:val="20"/>
              </w:rPr>
            </w:pPr>
            <w:proofErr w:type="spellStart"/>
            <w:r>
              <w:rPr>
                <w:sz w:val="20"/>
              </w:rPr>
              <w:t>Hét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Kötéspolaritás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molekulapolaritás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Egyszeres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többszörös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kötések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Az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elektronegativitás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meghatározása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Kovalens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kötések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ionos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jellege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Kovalens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sugár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kötési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energia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hálózatos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kovalens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kötések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Fémes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kötés</w:t>
            </w:r>
            <w:proofErr w:type="spellEnd"/>
            <w:r>
              <w:rPr>
                <w:sz w:val="20"/>
              </w:rPr>
              <w:t>.</w:t>
            </w:r>
          </w:p>
          <w:p w:rsidR="00F4115B" w:rsidRDefault="00ED3236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rPr>
                <w:sz w:val="20"/>
              </w:rPr>
            </w:pPr>
            <w:proofErr w:type="spellStart"/>
            <w:r>
              <w:rPr>
                <w:sz w:val="20"/>
              </w:rPr>
              <w:t>Hét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Gyenge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kötőerők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Diszperziós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dipól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erők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Hidrogénkötés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Többcentrumú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kötés</w:t>
            </w:r>
            <w:proofErr w:type="spellEnd"/>
            <w:r>
              <w:rPr>
                <w:sz w:val="20"/>
              </w:rPr>
              <w:t>.</w:t>
            </w:r>
          </w:p>
          <w:p w:rsidR="00F4115B" w:rsidRDefault="00ED3236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ind w:right="531"/>
              <w:rPr>
                <w:sz w:val="20"/>
              </w:rPr>
            </w:pPr>
            <w:proofErr w:type="spellStart"/>
            <w:r>
              <w:rPr>
                <w:sz w:val="20"/>
              </w:rPr>
              <w:t>Hét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Kémiai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egyensúlyok</w:t>
            </w:r>
            <w:proofErr w:type="spellEnd"/>
            <w:r>
              <w:rPr>
                <w:sz w:val="20"/>
              </w:rPr>
              <w:t xml:space="preserve">, a </w:t>
            </w:r>
            <w:proofErr w:type="spellStart"/>
            <w:r>
              <w:rPr>
                <w:sz w:val="20"/>
              </w:rPr>
              <w:t>tömeghatás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törvénye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Összefüggés</w:t>
            </w:r>
            <w:proofErr w:type="spellEnd"/>
            <w:r>
              <w:rPr>
                <w:sz w:val="20"/>
              </w:rPr>
              <w:t xml:space="preserve"> a </w:t>
            </w:r>
            <w:proofErr w:type="spellStart"/>
            <w:r>
              <w:rPr>
                <w:sz w:val="20"/>
              </w:rPr>
              <w:t>nyomásokkal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koncentrációkkal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kifejezett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állandók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között</w:t>
            </w:r>
            <w:proofErr w:type="spellEnd"/>
            <w:r>
              <w:rPr>
                <w:sz w:val="20"/>
              </w:rPr>
              <w:t xml:space="preserve">. A Le </w:t>
            </w:r>
            <w:proofErr w:type="spellStart"/>
            <w:r>
              <w:rPr>
                <w:sz w:val="20"/>
              </w:rPr>
              <w:t>Chatelier</w:t>
            </w:r>
            <w:proofErr w:type="spellEnd"/>
            <w:r>
              <w:rPr>
                <w:sz w:val="20"/>
              </w:rPr>
              <w:t xml:space="preserve">-Braun </w:t>
            </w:r>
            <w:proofErr w:type="spellStart"/>
            <w:r>
              <w:rPr>
                <w:sz w:val="20"/>
              </w:rPr>
              <w:t>elv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Az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egyensúlyi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állandó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hőmérséklet</w:t>
            </w:r>
            <w:proofErr w:type="spellEnd"/>
            <w:r>
              <w:rPr>
                <w:sz w:val="20"/>
              </w:rPr>
              <w:t xml:space="preserve">- </w:t>
            </w:r>
            <w:proofErr w:type="spellStart"/>
            <w:r>
              <w:rPr>
                <w:sz w:val="20"/>
              </w:rPr>
              <w:t>és</w:t>
            </w:r>
            <w:proofErr w:type="spellEnd"/>
            <w:r>
              <w:rPr>
                <w:spacing w:val="-1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nyomásfüggése</w:t>
            </w:r>
            <w:proofErr w:type="spellEnd"/>
            <w:r>
              <w:rPr>
                <w:sz w:val="20"/>
              </w:rPr>
              <w:t>.</w:t>
            </w:r>
          </w:p>
          <w:p w:rsidR="00F4115B" w:rsidRDefault="00ED3236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150"/>
              <w:rPr>
                <w:sz w:val="20"/>
              </w:rPr>
            </w:pPr>
            <w:proofErr w:type="spellStart"/>
            <w:r>
              <w:rPr>
                <w:sz w:val="20"/>
              </w:rPr>
              <w:t>Hét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Sav-bázis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egyensúlyok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Konjugált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sav-bázis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párok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és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állandóik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összefüggése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víz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sav-bázis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egyensúlyai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A pH </w:t>
            </w:r>
            <w:proofErr w:type="spellStart"/>
            <w:r>
              <w:rPr>
                <w:sz w:val="20"/>
              </w:rPr>
              <w:t>és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számítása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Savak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bázisok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erőssége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Hidrolízis</w:t>
            </w:r>
            <w:proofErr w:type="spellEnd"/>
            <w:r>
              <w:rPr>
                <w:sz w:val="20"/>
              </w:rPr>
              <w:t>. Puffer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rendszerek</w:t>
            </w:r>
            <w:proofErr w:type="spellEnd"/>
            <w:r>
              <w:rPr>
                <w:sz w:val="20"/>
              </w:rPr>
              <w:t>.</w:t>
            </w:r>
          </w:p>
          <w:p w:rsidR="00F4115B" w:rsidRDefault="00ED3236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480"/>
              <w:rPr>
                <w:sz w:val="20"/>
              </w:rPr>
            </w:pPr>
            <w:proofErr w:type="spellStart"/>
            <w:r>
              <w:rPr>
                <w:sz w:val="20"/>
              </w:rPr>
              <w:t>Hét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Komplexképződési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egyensúlyok</w:t>
            </w:r>
            <w:proofErr w:type="spellEnd"/>
            <w:r>
              <w:rPr>
                <w:sz w:val="20"/>
              </w:rPr>
              <w:t xml:space="preserve">. A </w:t>
            </w:r>
            <w:proofErr w:type="spellStart"/>
            <w:r>
              <w:rPr>
                <w:sz w:val="20"/>
              </w:rPr>
              <w:t>ligandumok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típusai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Anyagmérleg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egyenletek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komplex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egyensúlyok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számítása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Heterogén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egyensúlyok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oldhatósági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szorzat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oldhatóság</w:t>
            </w:r>
            <w:proofErr w:type="spellEnd"/>
            <w:r>
              <w:rPr>
                <w:sz w:val="20"/>
              </w:rPr>
              <w:t>.</w:t>
            </w:r>
          </w:p>
          <w:p w:rsidR="00F4115B" w:rsidRDefault="00ED3236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194"/>
              <w:rPr>
                <w:sz w:val="20"/>
              </w:rPr>
            </w:pPr>
            <w:proofErr w:type="spellStart"/>
            <w:r>
              <w:rPr>
                <w:sz w:val="20"/>
              </w:rPr>
              <w:t>Hét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Kémiai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kinetika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Gyors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lassú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közepes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sebességű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reakciók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Reakciórend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molekularitás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elsőrendű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reakciók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Másodrendű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pszeudo</w:t>
            </w:r>
            <w:proofErr w:type="spellEnd"/>
            <w:r>
              <w:rPr>
                <w:sz w:val="20"/>
              </w:rPr>
              <w:t xml:space="preserve">- </w:t>
            </w:r>
            <w:proofErr w:type="spellStart"/>
            <w:r>
              <w:rPr>
                <w:sz w:val="20"/>
              </w:rPr>
              <w:t>elsőrendű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nulladrendű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reakciók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Reakciómechanizmusok</w:t>
            </w:r>
            <w:proofErr w:type="spellEnd"/>
            <w:r>
              <w:rPr>
                <w:sz w:val="20"/>
              </w:rPr>
              <w:t xml:space="preserve">. A </w:t>
            </w:r>
            <w:proofErr w:type="spellStart"/>
            <w:r>
              <w:rPr>
                <w:sz w:val="20"/>
              </w:rPr>
              <w:t>reakciósebesség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hőmérsékletfüggése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ütközési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elmélet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Katalizátorok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homogén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heterogén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katalízis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Autokatalitikus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indukált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oszcilláló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reakciók</w:t>
            </w:r>
            <w:proofErr w:type="spellEnd"/>
            <w:r>
              <w:rPr>
                <w:sz w:val="20"/>
              </w:rPr>
              <w:t>.</w:t>
            </w:r>
          </w:p>
          <w:p w:rsidR="00F4115B" w:rsidRDefault="00ED3236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247"/>
              <w:rPr>
                <w:sz w:val="20"/>
              </w:rPr>
            </w:pPr>
            <w:proofErr w:type="spellStart"/>
            <w:r>
              <w:rPr>
                <w:sz w:val="20"/>
              </w:rPr>
              <w:t>Hét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Termokémia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Fajhő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hőkapacitás</w:t>
            </w:r>
            <w:proofErr w:type="spellEnd"/>
            <w:r>
              <w:rPr>
                <w:sz w:val="20"/>
              </w:rPr>
              <w:t xml:space="preserve">, endo- </w:t>
            </w:r>
            <w:proofErr w:type="spellStart"/>
            <w:r>
              <w:rPr>
                <w:sz w:val="20"/>
              </w:rPr>
              <w:t>és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exoterm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reakciók</w:t>
            </w:r>
            <w:proofErr w:type="spellEnd"/>
            <w:r>
              <w:rPr>
                <w:sz w:val="20"/>
              </w:rPr>
              <w:t xml:space="preserve">. Hess </w:t>
            </w:r>
            <w:proofErr w:type="spellStart"/>
            <w:r>
              <w:rPr>
                <w:sz w:val="20"/>
              </w:rPr>
              <w:t>tétele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Kémiai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folyamatok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belső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energia</w:t>
            </w:r>
            <w:proofErr w:type="spellEnd"/>
            <w:r>
              <w:rPr>
                <w:sz w:val="20"/>
              </w:rPr>
              <w:t xml:space="preserve">- </w:t>
            </w:r>
            <w:proofErr w:type="spellStart"/>
            <w:r>
              <w:rPr>
                <w:sz w:val="20"/>
              </w:rPr>
              <w:t>és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entalpiaváltozása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Az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entrópia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Kémiai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folyamatok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spontaneitása</w:t>
            </w:r>
            <w:proofErr w:type="spellEnd"/>
            <w:r>
              <w:rPr>
                <w:sz w:val="20"/>
              </w:rPr>
              <w:t>, a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szabadenergia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39" w:type="dxa"/>
            <w:vMerge/>
            <w:tcBorders>
              <w:top w:val="nil"/>
              <w:bottom w:val="nil"/>
              <w:right w:val="nil"/>
            </w:tcBorders>
          </w:tcPr>
          <w:p w:rsidR="00F4115B" w:rsidRDefault="00F4115B">
            <w:pPr>
              <w:rPr>
                <w:sz w:val="2"/>
                <w:szCs w:val="2"/>
              </w:rPr>
            </w:pPr>
          </w:p>
        </w:tc>
      </w:tr>
    </w:tbl>
    <w:p w:rsidR="00F4115B" w:rsidRDefault="00502662">
      <w:pPr>
        <w:rPr>
          <w:sz w:val="2"/>
          <w:szCs w:val="2"/>
        </w:rPr>
      </w:pPr>
      <w:r>
        <w:pict>
          <v:line id="_x0000_s1026" style="position:absolute;z-index:-251658752;mso-position-horizontal-relative:page;mso-position-vertical-relative:page" from="390.35pt,67.55pt" to="472.8pt,67.55pt" strokeweight=".48pt">
            <w10:wrap anchorx="page" anchory="page"/>
          </v:line>
        </w:pict>
      </w:r>
    </w:p>
    <w:p w:rsidR="00F4115B" w:rsidRDefault="00F4115B">
      <w:pPr>
        <w:rPr>
          <w:sz w:val="2"/>
          <w:szCs w:val="2"/>
        </w:rPr>
        <w:sectPr w:rsidR="00F4115B">
          <w:pgSz w:w="11900" w:h="16840"/>
          <w:pgMar w:top="1120" w:right="420" w:bottom="280" w:left="860" w:header="708" w:footer="708" w:gutter="0"/>
          <w:cols w:space="708"/>
        </w:sect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21"/>
      </w:tblGrid>
      <w:tr w:rsidR="00F4115B">
        <w:trPr>
          <w:trHeight w:val="6899"/>
        </w:trPr>
        <w:tc>
          <w:tcPr>
            <w:tcW w:w="10121" w:type="dxa"/>
          </w:tcPr>
          <w:p w:rsidR="00F4115B" w:rsidRDefault="00ED3236">
            <w:pPr>
              <w:pStyle w:val="TableParagraph"/>
              <w:spacing w:line="229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Gyakorlati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órák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tematikája</w:t>
            </w:r>
            <w:proofErr w:type="spellEnd"/>
            <w:r>
              <w:rPr>
                <w:b/>
                <w:sz w:val="20"/>
              </w:rPr>
              <w:t xml:space="preserve"> (</w:t>
            </w:r>
            <w:proofErr w:type="spellStart"/>
            <w:r>
              <w:rPr>
                <w:b/>
                <w:sz w:val="20"/>
              </w:rPr>
              <w:t>heti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bontásban</w:t>
            </w:r>
            <w:proofErr w:type="spellEnd"/>
            <w:r>
              <w:rPr>
                <w:b/>
                <w:sz w:val="20"/>
              </w:rPr>
              <w:t>) GYASKASKG1M:</w:t>
            </w:r>
          </w:p>
          <w:p w:rsidR="00F4115B" w:rsidRDefault="00ED3236">
            <w:pPr>
              <w:pStyle w:val="TableParagraph"/>
              <w:numPr>
                <w:ilvl w:val="0"/>
                <w:numId w:val="1"/>
              </w:numPr>
              <w:tabs>
                <w:tab w:val="left" w:pos="310"/>
                <w:tab w:val="left" w:pos="2231"/>
              </w:tabs>
              <w:spacing w:line="229" w:lineRule="exact"/>
              <w:ind w:hanging="2124"/>
              <w:rPr>
                <w:sz w:val="20"/>
              </w:rPr>
            </w:pPr>
            <w:proofErr w:type="spellStart"/>
            <w:r>
              <w:rPr>
                <w:sz w:val="20"/>
              </w:rPr>
              <w:t>hét</w:t>
            </w:r>
            <w:proofErr w:type="spellEnd"/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Tematika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követelményrendszer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ismertetése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Munka</w:t>
            </w:r>
            <w:proofErr w:type="spellEnd"/>
            <w:r>
              <w:rPr>
                <w:sz w:val="20"/>
              </w:rPr>
              <w:t xml:space="preserve">- </w:t>
            </w:r>
            <w:proofErr w:type="spellStart"/>
            <w:r>
              <w:rPr>
                <w:sz w:val="20"/>
              </w:rPr>
              <w:t>és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tűzvédelmi</w:t>
            </w:r>
            <w:proofErr w:type="spellEnd"/>
          </w:p>
          <w:p w:rsidR="00F4115B" w:rsidRDefault="00ED3236">
            <w:pPr>
              <w:pStyle w:val="TableParagraph"/>
              <w:ind w:left="2231" w:right="768"/>
              <w:rPr>
                <w:sz w:val="20"/>
              </w:rPr>
            </w:pPr>
            <w:proofErr w:type="spellStart"/>
            <w:r>
              <w:rPr>
                <w:sz w:val="20"/>
              </w:rPr>
              <w:t>oktatás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asztalátadás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Szervetlen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vegyületek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nevezéktana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Az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ozmózis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nyomás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hatásának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tanulmányozása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csapadékokkal</w:t>
            </w:r>
            <w:proofErr w:type="spellEnd"/>
            <w:r>
              <w:rPr>
                <w:sz w:val="20"/>
              </w:rPr>
              <w:t>.</w:t>
            </w:r>
          </w:p>
          <w:p w:rsidR="00F4115B" w:rsidRDefault="00ED3236">
            <w:pPr>
              <w:pStyle w:val="TableParagraph"/>
              <w:numPr>
                <w:ilvl w:val="0"/>
                <w:numId w:val="1"/>
              </w:numPr>
              <w:tabs>
                <w:tab w:val="left" w:pos="310"/>
                <w:tab w:val="left" w:pos="2231"/>
              </w:tabs>
              <w:spacing w:before="1"/>
              <w:ind w:right="2113" w:hanging="2124"/>
              <w:rPr>
                <w:sz w:val="20"/>
              </w:rPr>
            </w:pPr>
            <w:proofErr w:type="spellStart"/>
            <w:r>
              <w:rPr>
                <w:sz w:val="20"/>
              </w:rPr>
              <w:t>hét</w:t>
            </w:r>
            <w:proofErr w:type="spellEnd"/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Komplex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vegyületek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nevezéktana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Koncentrációszámítás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oldatkészítés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keverés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hígítás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Timsó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átkristályosítása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Jód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szublimációja</w:t>
            </w:r>
            <w:proofErr w:type="spellEnd"/>
            <w:r>
              <w:rPr>
                <w:sz w:val="20"/>
              </w:rPr>
              <w:t>.</w:t>
            </w:r>
          </w:p>
          <w:p w:rsidR="00F4115B" w:rsidRDefault="00ED3236">
            <w:pPr>
              <w:pStyle w:val="TableParagraph"/>
              <w:numPr>
                <w:ilvl w:val="0"/>
                <w:numId w:val="1"/>
              </w:numPr>
              <w:tabs>
                <w:tab w:val="left" w:pos="310"/>
                <w:tab w:val="left" w:pos="2231"/>
              </w:tabs>
              <w:spacing w:before="1"/>
              <w:ind w:right="1897" w:hanging="2124"/>
              <w:rPr>
                <w:sz w:val="20"/>
              </w:rPr>
            </w:pPr>
            <w:proofErr w:type="spellStart"/>
            <w:r>
              <w:rPr>
                <w:sz w:val="20"/>
              </w:rPr>
              <w:t>hét</w:t>
            </w:r>
            <w:proofErr w:type="spellEnd"/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Átkristályosítással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kapcsolatos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számítások</w:t>
            </w:r>
            <w:proofErr w:type="spellEnd"/>
            <w:r>
              <w:rPr>
                <w:sz w:val="20"/>
              </w:rPr>
              <w:t xml:space="preserve">, a </w:t>
            </w:r>
            <w:proofErr w:type="spellStart"/>
            <w:r>
              <w:rPr>
                <w:sz w:val="20"/>
              </w:rPr>
              <w:t>sztöchiometria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alapjai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Sósav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tisztítása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desztillációval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Réz</w:t>
            </w:r>
            <w:proofErr w:type="spellEnd"/>
            <w:r>
              <w:rPr>
                <w:sz w:val="20"/>
              </w:rPr>
              <w:t>(II)-</w:t>
            </w:r>
            <w:proofErr w:type="spellStart"/>
            <w:r>
              <w:rPr>
                <w:sz w:val="20"/>
              </w:rPr>
              <w:t>szulfát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előállítása</w:t>
            </w:r>
            <w:proofErr w:type="spellEnd"/>
            <w:r>
              <w:rPr>
                <w:sz w:val="20"/>
              </w:rPr>
              <w:t>.</w:t>
            </w:r>
          </w:p>
          <w:p w:rsidR="00F4115B" w:rsidRDefault="00ED3236">
            <w:pPr>
              <w:pStyle w:val="TableParagraph"/>
              <w:numPr>
                <w:ilvl w:val="0"/>
                <w:numId w:val="1"/>
              </w:numPr>
              <w:tabs>
                <w:tab w:val="left" w:pos="310"/>
                <w:tab w:val="left" w:pos="2231"/>
              </w:tabs>
              <w:ind w:right="2002" w:hanging="2124"/>
              <w:rPr>
                <w:sz w:val="20"/>
              </w:rPr>
            </w:pPr>
            <w:proofErr w:type="spellStart"/>
            <w:r>
              <w:rPr>
                <w:sz w:val="20"/>
              </w:rPr>
              <w:t>hét</w:t>
            </w:r>
            <w:proofErr w:type="spellEnd"/>
            <w:r>
              <w:rPr>
                <w:sz w:val="20"/>
              </w:rPr>
              <w:tab/>
              <w:t xml:space="preserve">I. </w:t>
            </w:r>
            <w:proofErr w:type="spellStart"/>
            <w:r>
              <w:rPr>
                <w:sz w:val="20"/>
              </w:rPr>
              <w:t>zárthelyi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Sztöchiometriai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számítások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gáztörvények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Bórsav</w:t>
            </w:r>
            <w:proofErr w:type="spellEnd"/>
            <w:r>
              <w:rPr>
                <w:spacing w:val="-3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előállítása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bóraxból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Ioncserés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víztisztítás</w:t>
            </w:r>
            <w:proofErr w:type="spellEnd"/>
            <w:r>
              <w:rPr>
                <w:sz w:val="20"/>
              </w:rPr>
              <w:t>.</w:t>
            </w:r>
          </w:p>
          <w:p w:rsidR="00F4115B" w:rsidRDefault="00ED3236">
            <w:pPr>
              <w:pStyle w:val="TableParagraph"/>
              <w:numPr>
                <w:ilvl w:val="0"/>
                <w:numId w:val="1"/>
              </w:numPr>
              <w:tabs>
                <w:tab w:val="left" w:pos="310"/>
                <w:tab w:val="left" w:pos="2231"/>
              </w:tabs>
              <w:ind w:right="2297" w:hanging="2124"/>
              <w:rPr>
                <w:sz w:val="20"/>
              </w:rPr>
            </w:pPr>
            <w:proofErr w:type="spellStart"/>
            <w:r>
              <w:rPr>
                <w:sz w:val="20"/>
              </w:rPr>
              <w:t>hét</w:t>
            </w:r>
            <w:proofErr w:type="spellEnd"/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Hidrolízis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Redoxireakciók</w:t>
            </w:r>
            <w:proofErr w:type="spellEnd"/>
            <w:r>
              <w:rPr>
                <w:sz w:val="20"/>
              </w:rPr>
              <w:t xml:space="preserve"> I. </w:t>
            </w:r>
            <w:proofErr w:type="spellStart"/>
            <w:r>
              <w:rPr>
                <w:sz w:val="20"/>
              </w:rPr>
              <w:t>Néhány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hidrolízisének</w:t>
            </w:r>
            <w:proofErr w:type="spellEnd"/>
            <w:r>
              <w:rPr>
                <w:spacing w:val="-3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megfigyelése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Kalcium-hidrogén-foszfát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előállítása</w:t>
            </w:r>
            <w:proofErr w:type="spellEnd"/>
            <w:r>
              <w:rPr>
                <w:sz w:val="20"/>
              </w:rPr>
              <w:t>.</w:t>
            </w:r>
          </w:p>
          <w:p w:rsidR="00F4115B" w:rsidRDefault="00ED3236">
            <w:pPr>
              <w:pStyle w:val="TableParagraph"/>
              <w:numPr>
                <w:ilvl w:val="0"/>
                <w:numId w:val="1"/>
              </w:numPr>
              <w:tabs>
                <w:tab w:val="left" w:pos="310"/>
                <w:tab w:val="left" w:pos="2231"/>
              </w:tabs>
              <w:spacing w:line="228" w:lineRule="exact"/>
              <w:ind w:left="309"/>
              <w:rPr>
                <w:sz w:val="20"/>
              </w:rPr>
            </w:pPr>
            <w:proofErr w:type="spellStart"/>
            <w:r>
              <w:rPr>
                <w:sz w:val="20"/>
              </w:rPr>
              <w:t>hét</w:t>
            </w:r>
            <w:proofErr w:type="spellEnd"/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Redoxireakciók</w:t>
            </w:r>
            <w:proofErr w:type="spellEnd"/>
            <w:r>
              <w:rPr>
                <w:sz w:val="20"/>
              </w:rPr>
              <w:t xml:space="preserve"> II. A </w:t>
            </w:r>
            <w:proofErr w:type="spellStart"/>
            <w:r>
              <w:rPr>
                <w:sz w:val="20"/>
              </w:rPr>
              <w:t>potenciálsor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törvényszerűségeinek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vizsgálata</w:t>
            </w:r>
            <w:proofErr w:type="spellEnd"/>
            <w:r>
              <w:rPr>
                <w:sz w:val="20"/>
              </w:rPr>
              <w:t>.</w:t>
            </w:r>
          </w:p>
          <w:p w:rsidR="00F4115B" w:rsidRDefault="00ED3236">
            <w:pPr>
              <w:pStyle w:val="TableParagraph"/>
              <w:spacing w:before="14" w:line="220" w:lineRule="auto"/>
              <w:ind w:left="2231" w:right="470"/>
              <w:rPr>
                <w:sz w:val="20"/>
              </w:rPr>
            </w:pPr>
            <w:r>
              <w:rPr>
                <w:position w:val="2"/>
                <w:sz w:val="20"/>
              </w:rPr>
              <w:t>Mg-</w:t>
            </w:r>
            <w:proofErr w:type="spellStart"/>
            <w:r>
              <w:rPr>
                <w:position w:val="2"/>
                <w:sz w:val="20"/>
              </w:rPr>
              <w:t>darabka</w:t>
            </w:r>
            <w:proofErr w:type="spellEnd"/>
            <w:r>
              <w:rPr>
                <w:position w:val="2"/>
                <w:sz w:val="20"/>
              </w:rPr>
              <w:t xml:space="preserve"> </w:t>
            </w:r>
            <w:proofErr w:type="spellStart"/>
            <w:r>
              <w:rPr>
                <w:position w:val="2"/>
                <w:sz w:val="20"/>
              </w:rPr>
              <w:t>tömegének</w:t>
            </w:r>
            <w:proofErr w:type="spellEnd"/>
            <w:r>
              <w:rPr>
                <w:position w:val="2"/>
                <w:sz w:val="20"/>
              </w:rPr>
              <w:t xml:space="preserve"> </w:t>
            </w:r>
            <w:proofErr w:type="spellStart"/>
            <w:r>
              <w:rPr>
                <w:position w:val="2"/>
                <w:sz w:val="20"/>
              </w:rPr>
              <w:t>meghatározása</w:t>
            </w:r>
            <w:proofErr w:type="spellEnd"/>
            <w:r>
              <w:rPr>
                <w:position w:val="2"/>
                <w:sz w:val="20"/>
              </w:rPr>
              <w:t xml:space="preserve"> a </w:t>
            </w:r>
            <w:proofErr w:type="spellStart"/>
            <w:r>
              <w:rPr>
                <w:position w:val="2"/>
                <w:sz w:val="20"/>
              </w:rPr>
              <w:t>fejlődő</w:t>
            </w:r>
            <w:proofErr w:type="spellEnd"/>
            <w:r>
              <w:rPr>
                <w:position w:val="2"/>
                <w:sz w:val="20"/>
              </w:rPr>
              <w:t xml:space="preserve"> H</w:t>
            </w:r>
            <w:r>
              <w:rPr>
                <w:position w:val="2"/>
                <w:sz w:val="20"/>
                <w:vertAlign w:val="subscript"/>
              </w:rPr>
              <w:t>2</w:t>
            </w:r>
            <w:r>
              <w:rPr>
                <w:position w:val="2"/>
                <w:sz w:val="20"/>
              </w:rPr>
              <w:t xml:space="preserve">-gáz </w:t>
            </w:r>
            <w:proofErr w:type="spellStart"/>
            <w:r>
              <w:rPr>
                <w:position w:val="2"/>
                <w:sz w:val="20"/>
              </w:rPr>
              <w:t>térfogatából</w:t>
            </w:r>
            <w:proofErr w:type="spellEnd"/>
            <w:r>
              <w:rPr>
                <w:position w:val="2"/>
                <w:sz w:val="20"/>
              </w:rPr>
              <w:t xml:space="preserve">. </w:t>
            </w:r>
            <w:proofErr w:type="spellStart"/>
            <w:r>
              <w:rPr>
                <w:position w:val="2"/>
                <w:sz w:val="20"/>
              </w:rPr>
              <w:t>Néhány</w:t>
            </w:r>
            <w:proofErr w:type="spellEnd"/>
            <w:r>
              <w:rPr>
                <w:position w:val="2"/>
                <w:sz w:val="20"/>
              </w:rPr>
              <w:t xml:space="preserve"> </w:t>
            </w:r>
            <w:proofErr w:type="spellStart"/>
            <w:r>
              <w:rPr>
                <w:position w:val="2"/>
                <w:sz w:val="20"/>
              </w:rPr>
              <w:t>redoxireakció</w:t>
            </w:r>
            <w:proofErr w:type="spellEnd"/>
            <w:r>
              <w:rPr>
                <w:position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megfigyelése</w:t>
            </w:r>
            <w:proofErr w:type="spellEnd"/>
            <w:r>
              <w:rPr>
                <w:sz w:val="20"/>
              </w:rPr>
              <w:t>.</w:t>
            </w:r>
          </w:p>
          <w:p w:rsidR="00F4115B" w:rsidRDefault="00ED3236">
            <w:pPr>
              <w:pStyle w:val="TableParagraph"/>
              <w:numPr>
                <w:ilvl w:val="0"/>
                <w:numId w:val="1"/>
              </w:numPr>
              <w:tabs>
                <w:tab w:val="left" w:pos="310"/>
                <w:tab w:val="left" w:pos="2231"/>
              </w:tabs>
              <w:spacing w:before="4"/>
              <w:ind w:right="518" w:hanging="2124"/>
              <w:rPr>
                <w:sz w:val="20"/>
              </w:rPr>
            </w:pPr>
            <w:proofErr w:type="spellStart"/>
            <w:r>
              <w:rPr>
                <w:sz w:val="20"/>
              </w:rPr>
              <w:t>hét</w:t>
            </w:r>
            <w:proofErr w:type="spellEnd"/>
            <w:r>
              <w:rPr>
                <w:sz w:val="20"/>
              </w:rPr>
              <w:tab/>
              <w:t>Vas(II)-</w:t>
            </w:r>
            <w:proofErr w:type="spellStart"/>
            <w:r>
              <w:rPr>
                <w:sz w:val="20"/>
              </w:rPr>
              <w:t>szulfát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előállítása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Galvánelemek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készítése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vizsgálata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Elektrolízissel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kapcsolatos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kísérletek</w:t>
            </w:r>
            <w:proofErr w:type="spellEnd"/>
            <w:r>
              <w:rPr>
                <w:sz w:val="20"/>
              </w:rPr>
              <w:t>. „</w:t>
            </w:r>
            <w:proofErr w:type="spellStart"/>
            <w:r>
              <w:rPr>
                <w:sz w:val="20"/>
              </w:rPr>
              <w:t>Kémiai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tűzhányó</w:t>
            </w:r>
            <w:proofErr w:type="spellEnd"/>
            <w:r>
              <w:rPr>
                <w:sz w:val="20"/>
              </w:rPr>
              <w:t xml:space="preserve">”: </w:t>
            </w:r>
            <w:proofErr w:type="spellStart"/>
            <w:r>
              <w:rPr>
                <w:sz w:val="20"/>
              </w:rPr>
              <w:t>az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ammónium-dikromát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hőbomlása</w:t>
            </w:r>
            <w:proofErr w:type="spellEnd"/>
            <w:r>
              <w:rPr>
                <w:sz w:val="20"/>
              </w:rPr>
              <w:t>.</w:t>
            </w:r>
          </w:p>
          <w:p w:rsidR="00F4115B" w:rsidRDefault="00ED3236">
            <w:pPr>
              <w:pStyle w:val="TableParagraph"/>
              <w:numPr>
                <w:ilvl w:val="0"/>
                <w:numId w:val="1"/>
              </w:numPr>
              <w:tabs>
                <w:tab w:val="left" w:pos="310"/>
                <w:tab w:val="left" w:pos="2231"/>
              </w:tabs>
              <w:spacing w:line="229" w:lineRule="exact"/>
              <w:ind w:left="309"/>
              <w:rPr>
                <w:sz w:val="20"/>
              </w:rPr>
            </w:pPr>
            <w:proofErr w:type="spellStart"/>
            <w:r>
              <w:rPr>
                <w:sz w:val="20"/>
              </w:rPr>
              <w:t>hét</w:t>
            </w:r>
            <w:proofErr w:type="spellEnd"/>
            <w:r>
              <w:rPr>
                <w:sz w:val="20"/>
              </w:rPr>
              <w:tab/>
              <w:t xml:space="preserve">II. </w:t>
            </w:r>
            <w:proofErr w:type="spellStart"/>
            <w:r>
              <w:rPr>
                <w:sz w:val="20"/>
              </w:rPr>
              <w:t>zárthelyi</w:t>
            </w:r>
            <w:proofErr w:type="spellEnd"/>
            <w:r>
              <w:rPr>
                <w:sz w:val="20"/>
              </w:rPr>
              <w:t>. pH-</w:t>
            </w:r>
            <w:proofErr w:type="spellStart"/>
            <w:r>
              <w:rPr>
                <w:sz w:val="20"/>
              </w:rPr>
              <w:t>számítás</w:t>
            </w:r>
            <w:proofErr w:type="spellEnd"/>
            <w:r>
              <w:rPr>
                <w:sz w:val="20"/>
              </w:rPr>
              <w:t xml:space="preserve"> I. </w:t>
            </w:r>
            <w:proofErr w:type="spellStart"/>
            <w:r>
              <w:rPr>
                <w:sz w:val="20"/>
              </w:rPr>
              <w:t>Fémréz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előállítása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és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reakciói</w:t>
            </w:r>
            <w:proofErr w:type="spellEnd"/>
            <w:r>
              <w:rPr>
                <w:sz w:val="20"/>
              </w:rPr>
              <w:t>.</w:t>
            </w:r>
          </w:p>
          <w:p w:rsidR="00F4115B" w:rsidRDefault="00ED3236">
            <w:pPr>
              <w:pStyle w:val="TableParagraph"/>
              <w:numPr>
                <w:ilvl w:val="0"/>
                <w:numId w:val="1"/>
              </w:numPr>
              <w:tabs>
                <w:tab w:val="left" w:pos="310"/>
                <w:tab w:val="left" w:pos="2231"/>
              </w:tabs>
              <w:spacing w:line="229" w:lineRule="exact"/>
              <w:ind w:left="309"/>
              <w:rPr>
                <w:sz w:val="20"/>
              </w:rPr>
            </w:pPr>
            <w:proofErr w:type="spellStart"/>
            <w:r>
              <w:rPr>
                <w:sz w:val="20"/>
              </w:rPr>
              <w:t>hét</w:t>
            </w:r>
            <w:proofErr w:type="spellEnd"/>
            <w:r>
              <w:rPr>
                <w:sz w:val="20"/>
              </w:rPr>
              <w:tab/>
              <w:t>pH-</w:t>
            </w:r>
            <w:proofErr w:type="spellStart"/>
            <w:r>
              <w:rPr>
                <w:sz w:val="20"/>
              </w:rPr>
              <w:t>számítás</w:t>
            </w:r>
            <w:proofErr w:type="spellEnd"/>
            <w:r>
              <w:rPr>
                <w:sz w:val="20"/>
              </w:rPr>
              <w:t xml:space="preserve"> II. </w:t>
            </w:r>
            <w:proofErr w:type="spellStart"/>
            <w:r>
              <w:rPr>
                <w:sz w:val="20"/>
              </w:rPr>
              <w:t>Réz</w:t>
            </w:r>
            <w:proofErr w:type="spellEnd"/>
            <w:r>
              <w:rPr>
                <w:sz w:val="20"/>
              </w:rPr>
              <w:t>(I)-</w:t>
            </w:r>
            <w:proofErr w:type="spellStart"/>
            <w:r>
              <w:rPr>
                <w:sz w:val="20"/>
              </w:rPr>
              <w:t>oxid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fémmangán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előállítása</w:t>
            </w:r>
            <w:proofErr w:type="spellEnd"/>
            <w:r>
              <w:rPr>
                <w:sz w:val="20"/>
              </w:rPr>
              <w:t>.</w:t>
            </w:r>
          </w:p>
          <w:p w:rsidR="00F4115B" w:rsidRDefault="00ED3236">
            <w:pPr>
              <w:pStyle w:val="TableParagraph"/>
              <w:numPr>
                <w:ilvl w:val="0"/>
                <w:numId w:val="1"/>
              </w:numPr>
              <w:tabs>
                <w:tab w:val="left" w:pos="410"/>
                <w:tab w:val="left" w:pos="2231"/>
              </w:tabs>
              <w:spacing w:before="1"/>
              <w:ind w:right="98" w:hanging="2124"/>
              <w:rPr>
                <w:sz w:val="20"/>
              </w:rPr>
            </w:pPr>
            <w:proofErr w:type="spellStart"/>
            <w:r>
              <w:rPr>
                <w:sz w:val="20"/>
              </w:rPr>
              <w:t>hét</w:t>
            </w:r>
            <w:proofErr w:type="spellEnd"/>
            <w:r>
              <w:rPr>
                <w:sz w:val="20"/>
              </w:rPr>
              <w:tab/>
              <w:t>pH-</w:t>
            </w:r>
            <w:proofErr w:type="spellStart"/>
            <w:r>
              <w:rPr>
                <w:sz w:val="20"/>
              </w:rPr>
              <w:t>számítás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III.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Hőbomlás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Szervetlen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vegyületek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hőbomlásának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megfigyelése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Pufferoldatok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pufferhatás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vizsgálata</w:t>
            </w:r>
            <w:proofErr w:type="spellEnd"/>
            <w:r>
              <w:rPr>
                <w:sz w:val="20"/>
              </w:rPr>
              <w:t>.</w:t>
            </w:r>
          </w:p>
          <w:p w:rsidR="00F4115B" w:rsidRDefault="00ED3236">
            <w:pPr>
              <w:pStyle w:val="TableParagraph"/>
              <w:numPr>
                <w:ilvl w:val="0"/>
                <w:numId w:val="1"/>
              </w:numPr>
              <w:tabs>
                <w:tab w:val="left" w:pos="410"/>
                <w:tab w:val="left" w:pos="2224"/>
              </w:tabs>
              <w:spacing w:before="1"/>
              <w:ind w:left="409" w:hanging="302"/>
              <w:rPr>
                <w:sz w:val="20"/>
              </w:rPr>
            </w:pPr>
            <w:proofErr w:type="spellStart"/>
            <w:r>
              <w:rPr>
                <w:sz w:val="20"/>
              </w:rPr>
              <w:t>hét</w:t>
            </w:r>
            <w:proofErr w:type="spellEnd"/>
            <w:r>
              <w:rPr>
                <w:sz w:val="20"/>
              </w:rPr>
              <w:tab/>
              <w:t xml:space="preserve">III. </w:t>
            </w:r>
            <w:proofErr w:type="spellStart"/>
            <w:r>
              <w:rPr>
                <w:sz w:val="20"/>
              </w:rPr>
              <w:t>zárthelyi</w:t>
            </w:r>
            <w:proofErr w:type="spellEnd"/>
            <w:r>
              <w:rPr>
                <w:sz w:val="20"/>
              </w:rPr>
              <w:t>. Mohr-</w:t>
            </w:r>
            <w:proofErr w:type="spellStart"/>
            <w:r>
              <w:rPr>
                <w:sz w:val="20"/>
              </w:rPr>
              <w:t>só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előállítása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Lecsapott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kén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előállítása</w:t>
            </w:r>
            <w:proofErr w:type="spellEnd"/>
            <w:r>
              <w:rPr>
                <w:sz w:val="20"/>
              </w:rPr>
              <w:t>.</w:t>
            </w:r>
          </w:p>
          <w:p w:rsidR="00F4115B" w:rsidRDefault="00ED3236">
            <w:pPr>
              <w:pStyle w:val="TableParagraph"/>
              <w:numPr>
                <w:ilvl w:val="0"/>
                <w:numId w:val="1"/>
              </w:numPr>
              <w:tabs>
                <w:tab w:val="left" w:pos="410"/>
                <w:tab w:val="left" w:pos="2231"/>
              </w:tabs>
              <w:ind w:left="409" w:hanging="302"/>
              <w:rPr>
                <w:sz w:val="20"/>
              </w:rPr>
            </w:pPr>
            <w:proofErr w:type="spellStart"/>
            <w:r>
              <w:rPr>
                <w:sz w:val="20"/>
              </w:rPr>
              <w:t>hét</w:t>
            </w:r>
            <w:proofErr w:type="spellEnd"/>
            <w:r>
              <w:rPr>
                <w:sz w:val="20"/>
              </w:rPr>
              <w:tab/>
              <w:t>[</w:t>
            </w:r>
            <w:proofErr w:type="spellStart"/>
            <w:r>
              <w:rPr>
                <w:sz w:val="20"/>
              </w:rPr>
              <w:t>Tetraammin-réz</w:t>
            </w:r>
            <w:proofErr w:type="spellEnd"/>
            <w:r>
              <w:rPr>
                <w:sz w:val="20"/>
              </w:rPr>
              <w:t>(II)]-</w:t>
            </w:r>
            <w:proofErr w:type="spellStart"/>
            <w:r>
              <w:rPr>
                <w:sz w:val="20"/>
              </w:rPr>
              <w:t>szulfát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előállítása</w:t>
            </w:r>
            <w:proofErr w:type="spellEnd"/>
            <w:r>
              <w:rPr>
                <w:sz w:val="20"/>
              </w:rPr>
              <w:t>.</w:t>
            </w:r>
          </w:p>
          <w:p w:rsidR="00F4115B" w:rsidRDefault="00ED3236">
            <w:pPr>
              <w:pStyle w:val="TableParagraph"/>
              <w:spacing w:before="1" w:line="229" w:lineRule="exact"/>
              <w:ind w:left="2231"/>
              <w:rPr>
                <w:sz w:val="20"/>
              </w:rPr>
            </w:pPr>
            <w:proofErr w:type="spellStart"/>
            <w:r>
              <w:rPr>
                <w:sz w:val="20"/>
              </w:rPr>
              <w:t>Kobalt</w:t>
            </w:r>
            <w:proofErr w:type="spellEnd"/>
            <w:r>
              <w:rPr>
                <w:sz w:val="20"/>
              </w:rPr>
              <w:t>(II)-[</w:t>
            </w:r>
            <w:proofErr w:type="spellStart"/>
            <w:r>
              <w:rPr>
                <w:sz w:val="20"/>
              </w:rPr>
              <w:t>tetrakisz</w:t>
            </w:r>
            <w:proofErr w:type="spellEnd"/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tiocianáto</w:t>
            </w:r>
            <w:proofErr w:type="spellEnd"/>
            <w:r>
              <w:rPr>
                <w:sz w:val="20"/>
              </w:rPr>
              <w:t>)-</w:t>
            </w:r>
            <w:proofErr w:type="spellStart"/>
            <w:r>
              <w:rPr>
                <w:sz w:val="20"/>
              </w:rPr>
              <w:t>merkurát</w:t>
            </w:r>
            <w:proofErr w:type="spellEnd"/>
            <w:r>
              <w:rPr>
                <w:sz w:val="20"/>
              </w:rPr>
              <w:t xml:space="preserve">(II)] </w:t>
            </w:r>
            <w:proofErr w:type="spellStart"/>
            <w:r>
              <w:rPr>
                <w:sz w:val="20"/>
              </w:rPr>
              <w:t>előállítása</w:t>
            </w:r>
            <w:proofErr w:type="spellEnd"/>
            <w:r>
              <w:rPr>
                <w:sz w:val="20"/>
              </w:rPr>
              <w:t>.</w:t>
            </w:r>
          </w:p>
          <w:p w:rsidR="00F4115B" w:rsidRDefault="00ED3236">
            <w:pPr>
              <w:pStyle w:val="TableParagraph"/>
              <w:numPr>
                <w:ilvl w:val="0"/>
                <w:numId w:val="1"/>
              </w:numPr>
              <w:tabs>
                <w:tab w:val="left" w:pos="410"/>
                <w:tab w:val="left" w:pos="2231"/>
              </w:tabs>
              <w:spacing w:line="229" w:lineRule="exact"/>
              <w:ind w:left="409" w:hanging="302"/>
              <w:rPr>
                <w:sz w:val="20"/>
              </w:rPr>
            </w:pPr>
            <w:proofErr w:type="spellStart"/>
            <w:r>
              <w:rPr>
                <w:sz w:val="20"/>
              </w:rPr>
              <w:t>hét</w:t>
            </w:r>
            <w:proofErr w:type="spellEnd"/>
            <w:r>
              <w:rPr>
                <w:sz w:val="20"/>
              </w:rPr>
              <w:tab/>
              <w:t xml:space="preserve">A </w:t>
            </w:r>
            <w:proofErr w:type="spellStart"/>
            <w:r>
              <w:rPr>
                <w:sz w:val="20"/>
              </w:rPr>
              <w:t>Landolt-reakció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tanulmányozása</w:t>
            </w:r>
            <w:proofErr w:type="spellEnd"/>
            <w:r>
              <w:rPr>
                <w:sz w:val="20"/>
              </w:rPr>
              <w:t xml:space="preserve">. A </w:t>
            </w:r>
            <w:proofErr w:type="spellStart"/>
            <w:r>
              <w:rPr>
                <w:sz w:val="20"/>
              </w:rPr>
              <w:t>reakciósebesség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hőmérséklet</w:t>
            </w:r>
            <w:proofErr w:type="spellEnd"/>
          </w:p>
          <w:p w:rsidR="00F4115B" w:rsidRDefault="00ED3236">
            <w:pPr>
              <w:pStyle w:val="TableParagraph"/>
              <w:ind w:left="2231" w:right="121"/>
              <w:rPr>
                <w:sz w:val="20"/>
              </w:rPr>
            </w:pPr>
            <w:proofErr w:type="spellStart"/>
            <w:r>
              <w:rPr>
                <w:sz w:val="20"/>
              </w:rPr>
              <w:t>és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koncentrációfüggése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Oszcilláló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reakciók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Katalízis</w:t>
            </w:r>
            <w:proofErr w:type="spellEnd"/>
            <w:r>
              <w:rPr>
                <w:sz w:val="20"/>
              </w:rPr>
              <w:t xml:space="preserve">: a </w:t>
            </w:r>
            <w:proofErr w:type="spellStart"/>
            <w:r>
              <w:rPr>
                <w:sz w:val="20"/>
              </w:rPr>
              <w:t>hidrogén-peroxid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bomlása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Oldhatósági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egyensúlyokkal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kapcsolatos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alapfogalmak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Oldhatósági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szorzatok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összehasonlítása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Évfolyam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zh</w:t>
            </w:r>
            <w:proofErr w:type="spellEnd"/>
            <w:r>
              <w:rPr>
                <w:sz w:val="20"/>
              </w:rPr>
              <w:t>.</w:t>
            </w:r>
          </w:p>
          <w:p w:rsidR="00F4115B" w:rsidRDefault="00ED3236">
            <w:pPr>
              <w:pStyle w:val="TableParagraph"/>
              <w:numPr>
                <w:ilvl w:val="0"/>
                <w:numId w:val="1"/>
              </w:numPr>
              <w:tabs>
                <w:tab w:val="left" w:pos="410"/>
                <w:tab w:val="left" w:pos="2276"/>
                <w:tab w:val="left" w:pos="3604"/>
                <w:tab w:val="left" w:pos="4955"/>
                <w:tab w:val="left" w:pos="6179"/>
                <w:tab w:val="left" w:pos="7223"/>
                <w:tab w:val="left" w:pos="8341"/>
                <w:tab w:val="left" w:pos="9395"/>
              </w:tabs>
              <w:spacing w:before="1" w:line="230" w:lineRule="atLeast"/>
              <w:ind w:right="97" w:hanging="2124"/>
              <w:rPr>
                <w:sz w:val="20"/>
              </w:rPr>
            </w:pPr>
            <w:proofErr w:type="spellStart"/>
            <w:r>
              <w:rPr>
                <w:sz w:val="20"/>
              </w:rPr>
              <w:t>hét</w:t>
            </w:r>
            <w:proofErr w:type="spellEnd"/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Kollokviumi</w:t>
            </w:r>
            <w:proofErr w:type="spellEnd"/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vizsgapéldák</w:t>
            </w:r>
            <w:proofErr w:type="spellEnd"/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gyakorlása</w:t>
            </w:r>
            <w:proofErr w:type="spellEnd"/>
            <w:r>
              <w:rPr>
                <w:sz w:val="20"/>
              </w:rPr>
              <w:t>.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Elmaradt</w:t>
            </w:r>
            <w:proofErr w:type="spellEnd"/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gyakorlati</w:t>
            </w:r>
            <w:proofErr w:type="spellEnd"/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feladatok</w:t>
            </w:r>
            <w:proofErr w:type="spellEnd"/>
            <w:r>
              <w:rPr>
                <w:sz w:val="20"/>
              </w:rPr>
              <w:tab/>
            </w:r>
            <w:proofErr w:type="spellStart"/>
            <w:r>
              <w:rPr>
                <w:w w:val="95"/>
                <w:sz w:val="20"/>
              </w:rPr>
              <w:t>pótlása</w:t>
            </w:r>
            <w:proofErr w:type="spellEnd"/>
            <w:r>
              <w:rPr>
                <w:w w:val="95"/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asztalátadás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pót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évfolyam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zh</w:t>
            </w:r>
            <w:proofErr w:type="spellEnd"/>
            <w:r>
              <w:rPr>
                <w:sz w:val="20"/>
              </w:rPr>
              <w:t>.).</w:t>
            </w:r>
          </w:p>
        </w:tc>
      </w:tr>
      <w:tr w:rsidR="00F4115B">
        <w:trPr>
          <w:trHeight w:val="688"/>
        </w:trPr>
        <w:tc>
          <w:tcPr>
            <w:tcW w:w="10121" w:type="dxa"/>
          </w:tcPr>
          <w:p w:rsidR="00F4115B" w:rsidRDefault="00ED3236">
            <w:pPr>
              <w:pStyle w:val="TableParagraph"/>
              <w:spacing w:line="228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Konzultációk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rendje</w:t>
            </w:r>
            <w:proofErr w:type="spellEnd"/>
            <w:r>
              <w:rPr>
                <w:b/>
                <w:sz w:val="20"/>
              </w:rPr>
              <w:t>:</w:t>
            </w:r>
          </w:p>
          <w:p w:rsidR="00F4115B" w:rsidRPr="0095639E" w:rsidRDefault="00ED3236">
            <w:pPr>
              <w:pStyle w:val="TableParagraph"/>
              <w:rPr>
                <w:sz w:val="20"/>
              </w:rPr>
            </w:pPr>
            <w:r w:rsidRPr="0095639E">
              <w:rPr>
                <w:sz w:val="20"/>
              </w:rPr>
              <w:t xml:space="preserve">A </w:t>
            </w:r>
            <w:proofErr w:type="spellStart"/>
            <w:r w:rsidRPr="0095639E">
              <w:rPr>
                <w:sz w:val="20"/>
              </w:rPr>
              <w:t>hallgatókkal</w:t>
            </w:r>
            <w:proofErr w:type="spellEnd"/>
            <w:r w:rsidRPr="0095639E">
              <w:rPr>
                <w:sz w:val="20"/>
              </w:rPr>
              <w:t xml:space="preserve"> </w:t>
            </w:r>
            <w:proofErr w:type="spellStart"/>
            <w:r w:rsidRPr="0095639E">
              <w:rPr>
                <w:sz w:val="20"/>
              </w:rPr>
              <w:t>való</w:t>
            </w:r>
            <w:proofErr w:type="spellEnd"/>
            <w:r w:rsidRPr="0095639E">
              <w:rPr>
                <w:sz w:val="20"/>
              </w:rPr>
              <w:t xml:space="preserve"> </w:t>
            </w:r>
            <w:proofErr w:type="spellStart"/>
            <w:r w:rsidRPr="0095639E">
              <w:rPr>
                <w:sz w:val="20"/>
              </w:rPr>
              <w:t>egyeztetés</w:t>
            </w:r>
            <w:proofErr w:type="spellEnd"/>
            <w:r w:rsidRPr="0095639E">
              <w:rPr>
                <w:sz w:val="20"/>
              </w:rPr>
              <w:t xml:space="preserve"> </w:t>
            </w:r>
            <w:proofErr w:type="spellStart"/>
            <w:r w:rsidRPr="0095639E">
              <w:rPr>
                <w:sz w:val="20"/>
              </w:rPr>
              <w:t>alapján</w:t>
            </w:r>
            <w:proofErr w:type="spellEnd"/>
            <w:r w:rsidRPr="0095639E">
              <w:rPr>
                <w:sz w:val="20"/>
              </w:rPr>
              <w:t>.</w:t>
            </w:r>
          </w:p>
        </w:tc>
      </w:tr>
      <w:tr w:rsidR="00F4115B">
        <w:trPr>
          <w:trHeight w:val="460"/>
        </w:trPr>
        <w:tc>
          <w:tcPr>
            <w:tcW w:w="10121" w:type="dxa"/>
          </w:tcPr>
          <w:p w:rsidR="00F4115B" w:rsidRDefault="00F4115B">
            <w:pPr>
              <w:pStyle w:val="TableParagraph"/>
              <w:ind w:left="0"/>
              <w:rPr>
                <w:sz w:val="20"/>
              </w:rPr>
            </w:pPr>
          </w:p>
          <w:p w:rsidR="00F4115B" w:rsidRDefault="00ED3236">
            <w:pPr>
              <w:pStyle w:val="TableParagraph"/>
              <w:spacing w:line="210" w:lineRule="exact"/>
              <w:ind w:left="3813" w:right="3807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Kurzus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követelményrendszere</w:t>
            </w:r>
            <w:proofErr w:type="spellEnd"/>
          </w:p>
        </w:tc>
      </w:tr>
      <w:tr w:rsidR="00F4115B">
        <w:trPr>
          <w:trHeight w:val="918"/>
        </w:trPr>
        <w:tc>
          <w:tcPr>
            <w:tcW w:w="10121" w:type="dxa"/>
          </w:tcPr>
          <w:p w:rsidR="00F4115B" w:rsidRDefault="00ED3236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 </w:t>
            </w:r>
            <w:proofErr w:type="spellStart"/>
            <w:r>
              <w:rPr>
                <w:b/>
                <w:sz w:val="20"/>
              </w:rPr>
              <w:t>kurzus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felvételének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előzetes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követelményei</w:t>
            </w:r>
            <w:proofErr w:type="spellEnd"/>
            <w:r>
              <w:rPr>
                <w:b/>
                <w:sz w:val="20"/>
              </w:rPr>
              <w:t>: --</w:t>
            </w:r>
          </w:p>
        </w:tc>
      </w:tr>
      <w:tr w:rsidR="00F4115B">
        <w:trPr>
          <w:trHeight w:val="1610"/>
        </w:trPr>
        <w:tc>
          <w:tcPr>
            <w:tcW w:w="10121" w:type="dxa"/>
          </w:tcPr>
          <w:p w:rsidR="00F4115B" w:rsidRDefault="00ED3236">
            <w:pPr>
              <w:pStyle w:val="TableParagraph"/>
              <w:ind w:right="279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 </w:t>
            </w:r>
            <w:proofErr w:type="spellStart"/>
            <w:r>
              <w:rPr>
                <w:b/>
                <w:sz w:val="20"/>
              </w:rPr>
              <w:t>foglalkozásokon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való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részvétel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követelményei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az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elfogadható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hiányzások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mértéke</w:t>
            </w:r>
            <w:proofErr w:type="spellEnd"/>
            <w:r>
              <w:rPr>
                <w:b/>
                <w:sz w:val="20"/>
              </w:rPr>
              <w:t xml:space="preserve">, a </w:t>
            </w:r>
            <w:proofErr w:type="spellStart"/>
            <w:r>
              <w:rPr>
                <w:b/>
                <w:sz w:val="20"/>
              </w:rPr>
              <w:t>távolmaradás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igazolásának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módja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pótlás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lehetősége</w:t>
            </w:r>
            <w:proofErr w:type="spellEnd"/>
            <w:r>
              <w:rPr>
                <w:b/>
                <w:sz w:val="20"/>
              </w:rPr>
              <w:t>:</w:t>
            </w:r>
          </w:p>
          <w:p w:rsidR="00F4115B" w:rsidRPr="0095639E" w:rsidRDefault="00ED3236">
            <w:pPr>
              <w:pStyle w:val="TableParagraph"/>
              <w:spacing w:before="1"/>
              <w:rPr>
                <w:sz w:val="20"/>
              </w:rPr>
            </w:pPr>
            <w:r w:rsidRPr="0095639E">
              <w:rPr>
                <w:sz w:val="20"/>
              </w:rPr>
              <w:t xml:space="preserve">A </w:t>
            </w:r>
            <w:proofErr w:type="spellStart"/>
            <w:r w:rsidRPr="0095639E">
              <w:rPr>
                <w:sz w:val="20"/>
              </w:rPr>
              <w:t>Tanulmányi</w:t>
            </w:r>
            <w:proofErr w:type="spellEnd"/>
            <w:r w:rsidRPr="0095639E">
              <w:rPr>
                <w:sz w:val="20"/>
              </w:rPr>
              <w:t xml:space="preserve"> </w:t>
            </w:r>
            <w:proofErr w:type="spellStart"/>
            <w:r w:rsidRPr="0095639E">
              <w:rPr>
                <w:sz w:val="20"/>
              </w:rPr>
              <w:t>és</w:t>
            </w:r>
            <w:proofErr w:type="spellEnd"/>
            <w:r w:rsidRPr="0095639E">
              <w:rPr>
                <w:sz w:val="20"/>
              </w:rPr>
              <w:t xml:space="preserve"> </w:t>
            </w:r>
            <w:proofErr w:type="spellStart"/>
            <w:r w:rsidRPr="0095639E">
              <w:rPr>
                <w:sz w:val="20"/>
              </w:rPr>
              <w:t>Vizsgaszabályzat</w:t>
            </w:r>
            <w:proofErr w:type="spellEnd"/>
            <w:r w:rsidRPr="0095639E">
              <w:rPr>
                <w:sz w:val="20"/>
              </w:rPr>
              <w:t xml:space="preserve"> </w:t>
            </w:r>
            <w:proofErr w:type="spellStart"/>
            <w:r w:rsidRPr="0095639E">
              <w:rPr>
                <w:sz w:val="20"/>
              </w:rPr>
              <w:t>szerint</w:t>
            </w:r>
            <w:proofErr w:type="spellEnd"/>
            <w:r w:rsidRPr="0095639E">
              <w:rPr>
                <w:sz w:val="20"/>
              </w:rPr>
              <w:t>.</w:t>
            </w:r>
          </w:p>
        </w:tc>
      </w:tr>
      <w:tr w:rsidR="00F4115B">
        <w:trPr>
          <w:trHeight w:val="736"/>
        </w:trPr>
        <w:tc>
          <w:tcPr>
            <w:tcW w:w="10121" w:type="dxa"/>
          </w:tcPr>
          <w:p w:rsidR="00F4115B" w:rsidRDefault="00ED3236">
            <w:pPr>
              <w:pStyle w:val="TableParagraph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Évközi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ellenőrzés</w:t>
            </w:r>
            <w:proofErr w:type="spellEnd"/>
            <w:r>
              <w:rPr>
                <w:b/>
                <w:sz w:val="20"/>
              </w:rPr>
              <w:t xml:space="preserve">: </w:t>
            </w:r>
            <w:proofErr w:type="spellStart"/>
            <w:r w:rsidRPr="0095639E">
              <w:rPr>
                <w:sz w:val="20"/>
              </w:rPr>
              <w:t>nincs</w:t>
            </w:r>
            <w:proofErr w:type="spellEnd"/>
          </w:p>
        </w:tc>
      </w:tr>
      <w:tr w:rsidR="00F4115B">
        <w:trPr>
          <w:trHeight w:val="921"/>
        </w:trPr>
        <w:tc>
          <w:tcPr>
            <w:tcW w:w="10121" w:type="dxa"/>
          </w:tcPr>
          <w:p w:rsidR="00F4115B" w:rsidRDefault="00ED3236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 </w:t>
            </w:r>
            <w:proofErr w:type="spellStart"/>
            <w:r>
              <w:rPr>
                <w:b/>
                <w:sz w:val="20"/>
              </w:rPr>
              <w:t>félév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végi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aláírás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követelményei</w:t>
            </w:r>
            <w:proofErr w:type="spellEnd"/>
            <w:r>
              <w:rPr>
                <w:b/>
                <w:sz w:val="20"/>
              </w:rPr>
              <w:t xml:space="preserve">: </w:t>
            </w:r>
            <w:proofErr w:type="spellStart"/>
            <w:r w:rsidRPr="0095639E">
              <w:rPr>
                <w:sz w:val="20"/>
              </w:rPr>
              <w:t>Az</w:t>
            </w:r>
            <w:proofErr w:type="spellEnd"/>
            <w:r w:rsidRPr="0095639E">
              <w:rPr>
                <w:sz w:val="20"/>
              </w:rPr>
              <w:t xml:space="preserve"> </w:t>
            </w:r>
            <w:proofErr w:type="spellStart"/>
            <w:r w:rsidRPr="0095639E">
              <w:rPr>
                <w:sz w:val="20"/>
              </w:rPr>
              <w:t>előadásokon</w:t>
            </w:r>
            <w:proofErr w:type="spellEnd"/>
            <w:r w:rsidRPr="0095639E">
              <w:rPr>
                <w:sz w:val="20"/>
              </w:rPr>
              <w:t xml:space="preserve"> </w:t>
            </w:r>
            <w:proofErr w:type="spellStart"/>
            <w:r w:rsidRPr="0095639E">
              <w:rPr>
                <w:sz w:val="20"/>
              </w:rPr>
              <w:t>való</w:t>
            </w:r>
            <w:proofErr w:type="spellEnd"/>
            <w:r w:rsidRPr="0095639E">
              <w:rPr>
                <w:sz w:val="20"/>
              </w:rPr>
              <w:t xml:space="preserve"> </w:t>
            </w:r>
            <w:proofErr w:type="spellStart"/>
            <w:r w:rsidRPr="0095639E">
              <w:rPr>
                <w:sz w:val="20"/>
              </w:rPr>
              <w:t>részvétel</w:t>
            </w:r>
            <w:proofErr w:type="spellEnd"/>
            <w:r w:rsidRPr="0095639E">
              <w:rPr>
                <w:sz w:val="20"/>
              </w:rPr>
              <w:t>.</w:t>
            </w:r>
          </w:p>
        </w:tc>
      </w:tr>
      <w:tr w:rsidR="00F4115B">
        <w:trPr>
          <w:trHeight w:val="688"/>
        </w:trPr>
        <w:tc>
          <w:tcPr>
            <w:tcW w:w="10121" w:type="dxa"/>
          </w:tcPr>
          <w:p w:rsidR="00F4115B" w:rsidRDefault="00ED3236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 </w:t>
            </w:r>
            <w:proofErr w:type="spellStart"/>
            <w:r>
              <w:rPr>
                <w:b/>
                <w:sz w:val="20"/>
              </w:rPr>
              <w:t>hallgató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félév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során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egyéni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munkával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megoldandó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feladatai</w:t>
            </w:r>
            <w:proofErr w:type="spellEnd"/>
            <w:r>
              <w:rPr>
                <w:b/>
                <w:sz w:val="20"/>
              </w:rPr>
              <w:t>:</w:t>
            </w:r>
          </w:p>
        </w:tc>
      </w:tr>
      <w:tr w:rsidR="00F4115B">
        <w:trPr>
          <w:trHeight w:val="690"/>
        </w:trPr>
        <w:tc>
          <w:tcPr>
            <w:tcW w:w="10121" w:type="dxa"/>
          </w:tcPr>
          <w:p w:rsidR="00F4115B" w:rsidRDefault="00ED3236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 </w:t>
            </w:r>
            <w:proofErr w:type="spellStart"/>
            <w:r>
              <w:rPr>
                <w:b/>
                <w:sz w:val="20"/>
              </w:rPr>
              <w:t>félév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végi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számonkérés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módja</w:t>
            </w:r>
            <w:proofErr w:type="spellEnd"/>
            <w:r>
              <w:rPr>
                <w:b/>
                <w:sz w:val="20"/>
              </w:rPr>
              <w:t xml:space="preserve">: </w:t>
            </w:r>
            <w:proofErr w:type="spellStart"/>
            <w:r w:rsidRPr="0095639E">
              <w:rPr>
                <w:sz w:val="20"/>
              </w:rPr>
              <w:t>szóbeli</w:t>
            </w:r>
            <w:proofErr w:type="spellEnd"/>
            <w:r w:rsidRPr="0095639E">
              <w:rPr>
                <w:sz w:val="20"/>
              </w:rPr>
              <w:t xml:space="preserve"> </w:t>
            </w:r>
            <w:proofErr w:type="spellStart"/>
            <w:r w:rsidRPr="0095639E">
              <w:rPr>
                <w:sz w:val="20"/>
              </w:rPr>
              <w:t>vizsga</w:t>
            </w:r>
            <w:proofErr w:type="spellEnd"/>
          </w:p>
        </w:tc>
      </w:tr>
      <w:tr w:rsidR="00F4115B">
        <w:trPr>
          <w:trHeight w:val="690"/>
        </w:trPr>
        <w:tc>
          <w:tcPr>
            <w:tcW w:w="10121" w:type="dxa"/>
          </w:tcPr>
          <w:p w:rsidR="00F4115B" w:rsidRDefault="00ED3236">
            <w:pPr>
              <w:pStyle w:val="TableParagraph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 xml:space="preserve">A </w:t>
            </w:r>
            <w:proofErr w:type="spellStart"/>
            <w:r>
              <w:rPr>
                <w:b/>
                <w:sz w:val="20"/>
              </w:rPr>
              <w:t>félév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végi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számonkérés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formája</w:t>
            </w:r>
            <w:proofErr w:type="spellEnd"/>
            <w:r>
              <w:rPr>
                <w:b/>
                <w:i/>
                <w:sz w:val="20"/>
              </w:rPr>
              <w:t xml:space="preserve">: </w:t>
            </w:r>
            <w:proofErr w:type="spellStart"/>
            <w:r w:rsidRPr="0095639E">
              <w:rPr>
                <w:sz w:val="20"/>
              </w:rPr>
              <w:t>szóbeli</w:t>
            </w:r>
            <w:proofErr w:type="spellEnd"/>
            <w:r w:rsidRPr="0095639E">
              <w:rPr>
                <w:sz w:val="20"/>
              </w:rPr>
              <w:t xml:space="preserve"> </w:t>
            </w:r>
            <w:proofErr w:type="spellStart"/>
            <w:r w:rsidRPr="0095639E">
              <w:rPr>
                <w:sz w:val="20"/>
              </w:rPr>
              <w:t>vizsga</w:t>
            </w:r>
            <w:proofErr w:type="spellEnd"/>
          </w:p>
        </w:tc>
      </w:tr>
      <w:tr w:rsidR="00F4115B">
        <w:trPr>
          <w:trHeight w:val="688"/>
        </w:trPr>
        <w:tc>
          <w:tcPr>
            <w:tcW w:w="10121" w:type="dxa"/>
          </w:tcPr>
          <w:p w:rsidR="00F4115B" w:rsidRDefault="00ED3236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 </w:t>
            </w:r>
            <w:proofErr w:type="spellStart"/>
            <w:r>
              <w:rPr>
                <w:b/>
                <w:sz w:val="20"/>
              </w:rPr>
              <w:t>tárgy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előírt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külső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szakmai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gyakorlatai</w:t>
            </w:r>
            <w:proofErr w:type="spellEnd"/>
            <w:r>
              <w:rPr>
                <w:b/>
                <w:sz w:val="20"/>
              </w:rPr>
              <w:t xml:space="preserve">: </w:t>
            </w:r>
            <w:proofErr w:type="spellStart"/>
            <w:r w:rsidRPr="0095639E">
              <w:rPr>
                <w:sz w:val="20"/>
              </w:rPr>
              <w:t>nincs</w:t>
            </w:r>
            <w:proofErr w:type="spellEnd"/>
          </w:p>
        </w:tc>
      </w:tr>
    </w:tbl>
    <w:p w:rsidR="00F4115B" w:rsidRDefault="00F4115B">
      <w:pPr>
        <w:rPr>
          <w:sz w:val="20"/>
        </w:rPr>
        <w:sectPr w:rsidR="00F4115B">
          <w:pgSz w:w="11900" w:h="16840"/>
          <w:pgMar w:top="1120" w:right="420" w:bottom="280" w:left="860" w:header="708" w:footer="708" w:gutter="0"/>
          <w:cols w:space="708"/>
        </w:sect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21"/>
      </w:tblGrid>
      <w:tr w:rsidR="00F4115B">
        <w:trPr>
          <w:trHeight w:val="1379"/>
        </w:trPr>
        <w:tc>
          <w:tcPr>
            <w:tcW w:w="10121" w:type="dxa"/>
          </w:tcPr>
          <w:p w:rsidR="00F4115B" w:rsidRDefault="00ED3236"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 xml:space="preserve">A </w:t>
            </w:r>
            <w:proofErr w:type="spellStart"/>
            <w:r>
              <w:rPr>
                <w:b/>
                <w:sz w:val="20"/>
              </w:rPr>
              <w:t>tananyag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elsajátításához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felhasználható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jegyzetek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tankönyvek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segédletek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és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szakirodalom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listája</w:t>
            </w:r>
            <w:proofErr w:type="spellEnd"/>
            <w:r>
              <w:rPr>
                <w:b/>
                <w:sz w:val="20"/>
              </w:rPr>
              <w:t>:</w:t>
            </w:r>
          </w:p>
          <w:p w:rsidR="00F4115B" w:rsidRDefault="00ED3236">
            <w:pPr>
              <w:pStyle w:val="TableParagraph"/>
              <w:spacing w:line="480" w:lineRule="auto"/>
              <w:ind w:right="4624"/>
              <w:rPr>
                <w:sz w:val="20"/>
              </w:rPr>
            </w:pPr>
            <w:r>
              <w:rPr>
                <w:sz w:val="20"/>
              </w:rPr>
              <w:t xml:space="preserve">Dr. </w:t>
            </w:r>
            <w:proofErr w:type="spellStart"/>
            <w:r>
              <w:rPr>
                <w:sz w:val="20"/>
              </w:rPr>
              <w:t>Kőrös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Endre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Általános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kémia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jegyzet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Semmelweis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kiadó</w:t>
            </w:r>
            <w:proofErr w:type="spellEnd"/>
            <w:r>
              <w:rPr>
                <w:sz w:val="20"/>
              </w:rPr>
              <w:t xml:space="preserve">), Dr. </w:t>
            </w:r>
            <w:proofErr w:type="spellStart"/>
            <w:r>
              <w:rPr>
                <w:sz w:val="20"/>
              </w:rPr>
              <w:t>Kőrös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Endre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Szervetlen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kémia</w:t>
            </w:r>
            <w:proofErr w:type="spellEnd"/>
            <w:r>
              <w:rPr>
                <w:sz w:val="20"/>
              </w:rPr>
              <w:t xml:space="preserve"> I. (</w:t>
            </w:r>
            <w:proofErr w:type="spellStart"/>
            <w:r>
              <w:rPr>
                <w:sz w:val="20"/>
              </w:rPr>
              <w:t>jegyzet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Semmelweis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kiadó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F4115B">
        <w:trPr>
          <w:trHeight w:val="688"/>
        </w:trPr>
        <w:tc>
          <w:tcPr>
            <w:tcW w:w="10121" w:type="dxa"/>
          </w:tcPr>
          <w:p w:rsidR="00F4115B" w:rsidRDefault="00ED3236">
            <w:pPr>
              <w:pStyle w:val="TableParagraph"/>
              <w:ind w:right="7512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 </w:t>
            </w:r>
            <w:proofErr w:type="spellStart"/>
            <w:r>
              <w:rPr>
                <w:b/>
                <w:sz w:val="20"/>
              </w:rPr>
              <w:t>kurzus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tárgyi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szükségletei</w:t>
            </w:r>
            <w:proofErr w:type="spellEnd"/>
            <w:r>
              <w:rPr>
                <w:b/>
                <w:sz w:val="20"/>
              </w:rPr>
              <w:t xml:space="preserve">: </w:t>
            </w:r>
            <w:proofErr w:type="spellStart"/>
            <w:r w:rsidRPr="0095639E">
              <w:rPr>
                <w:sz w:val="20"/>
              </w:rPr>
              <w:t>nincs</w:t>
            </w:r>
            <w:proofErr w:type="spellEnd"/>
          </w:p>
        </w:tc>
      </w:tr>
      <w:tr w:rsidR="00F4115B">
        <w:trPr>
          <w:trHeight w:val="690"/>
        </w:trPr>
        <w:tc>
          <w:tcPr>
            <w:tcW w:w="10121" w:type="dxa"/>
          </w:tcPr>
          <w:p w:rsidR="00F4115B" w:rsidRDefault="00ED3236">
            <w:pPr>
              <w:pStyle w:val="TableParagraph"/>
              <w:ind w:right="462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Tantárgyi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vonatkozású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tudományos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eredmények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kutatások</w:t>
            </w:r>
            <w:proofErr w:type="spellEnd"/>
            <w:r>
              <w:rPr>
                <w:b/>
                <w:sz w:val="20"/>
              </w:rPr>
              <w:t xml:space="preserve">: </w:t>
            </w:r>
            <w:proofErr w:type="spellStart"/>
            <w:r w:rsidRPr="0095639E">
              <w:rPr>
                <w:sz w:val="20"/>
              </w:rPr>
              <w:t>nincs</w:t>
            </w:r>
            <w:proofErr w:type="spellEnd"/>
          </w:p>
        </w:tc>
      </w:tr>
      <w:tr w:rsidR="00F4115B">
        <w:trPr>
          <w:trHeight w:val="690"/>
        </w:trPr>
        <w:tc>
          <w:tcPr>
            <w:tcW w:w="10121" w:type="dxa"/>
          </w:tcPr>
          <w:p w:rsidR="00F4115B" w:rsidRDefault="00ED3236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 </w:t>
            </w:r>
            <w:proofErr w:type="spellStart"/>
            <w:r>
              <w:rPr>
                <w:b/>
                <w:sz w:val="20"/>
              </w:rPr>
              <w:t>tantárgyleírást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készítette</w:t>
            </w:r>
            <w:proofErr w:type="spellEnd"/>
            <w:r>
              <w:rPr>
                <w:b/>
                <w:sz w:val="20"/>
              </w:rPr>
              <w:t>:</w:t>
            </w:r>
          </w:p>
          <w:p w:rsidR="00F4115B" w:rsidRDefault="00F4115B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:rsidR="00F4115B" w:rsidRPr="0095639E" w:rsidRDefault="00ED3236">
            <w:pPr>
              <w:pStyle w:val="TableParagraph"/>
              <w:spacing w:line="210" w:lineRule="exact"/>
              <w:rPr>
                <w:sz w:val="20"/>
              </w:rPr>
            </w:pPr>
            <w:proofErr w:type="spellStart"/>
            <w:r w:rsidRPr="0095639E">
              <w:rPr>
                <w:sz w:val="20"/>
              </w:rPr>
              <w:t>Szalai</w:t>
            </w:r>
            <w:proofErr w:type="spellEnd"/>
            <w:r w:rsidRPr="0095639E">
              <w:rPr>
                <w:sz w:val="20"/>
              </w:rPr>
              <w:t xml:space="preserve"> </w:t>
            </w:r>
            <w:proofErr w:type="spellStart"/>
            <w:r w:rsidRPr="0095639E">
              <w:rPr>
                <w:sz w:val="20"/>
              </w:rPr>
              <w:t>István</w:t>
            </w:r>
            <w:proofErr w:type="spellEnd"/>
          </w:p>
        </w:tc>
      </w:tr>
    </w:tbl>
    <w:p w:rsidR="00ED3236" w:rsidRDefault="00ED3236"/>
    <w:sectPr w:rsidR="00ED3236">
      <w:pgSz w:w="11900" w:h="16840"/>
      <w:pgMar w:top="1120" w:right="420" w:bottom="28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E63F5D"/>
    <w:multiLevelType w:val="hybridMultilevel"/>
    <w:tmpl w:val="479446CA"/>
    <w:lvl w:ilvl="0" w:tplc="498E5F0C">
      <w:numFmt w:val="bullet"/>
      <w:lvlText w:val="-"/>
      <w:lvlJc w:val="left"/>
      <w:pPr>
        <w:ind w:left="527" w:hanging="118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</w:rPr>
    </w:lvl>
    <w:lvl w:ilvl="1" w:tplc="ECB2F124">
      <w:numFmt w:val="bullet"/>
      <w:lvlText w:val="•"/>
      <w:lvlJc w:val="left"/>
      <w:pPr>
        <w:ind w:left="977" w:hanging="118"/>
      </w:pPr>
      <w:rPr>
        <w:rFonts w:hint="default"/>
      </w:rPr>
    </w:lvl>
    <w:lvl w:ilvl="2" w:tplc="A1968C84">
      <w:numFmt w:val="bullet"/>
      <w:lvlText w:val="•"/>
      <w:lvlJc w:val="left"/>
      <w:pPr>
        <w:ind w:left="1434" w:hanging="118"/>
      </w:pPr>
      <w:rPr>
        <w:rFonts w:hint="default"/>
      </w:rPr>
    </w:lvl>
    <w:lvl w:ilvl="3" w:tplc="3AC29B5A">
      <w:numFmt w:val="bullet"/>
      <w:lvlText w:val="•"/>
      <w:lvlJc w:val="left"/>
      <w:pPr>
        <w:ind w:left="1891" w:hanging="118"/>
      </w:pPr>
      <w:rPr>
        <w:rFonts w:hint="default"/>
      </w:rPr>
    </w:lvl>
    <w:lvl w:ilvl="4" w:tplc="347CC1F8">
      <w:numFmt w:val="bullet"/>
      <w:lvlText w:val="•"/>
      <w:lvlJc w:val="left"/>
      <w:pPr>
        <w:ind w:left="2349" w:hanging="118"/>
      </w:pPr>
      <w:rPr>
        <w:rFonts w:hint="default"/>
      </w:rPr>
    </w:lvl>
    <w:lvl w:ilvl="5" w:tplc="F49E0E08">
      <w:numFmt w:val="bullet"/>
      <w:lvlText w:val="•"/>
      <w:lvlJc w:val="left"/>
      <w:pPr>
        <w:ind w:left="2806" w:hanging="118"/>
      </w:pPr>
      <w:rPr>
        <w:rFonts w:hint="default"/>
      </w:rPr>
    </w:lvl>
    <w:lvl w:ilvl="6" w:tplc="9D787730">
      <w:numFmt w:val="bullet"/>
      <w:lvlText w:val="•"/>
      <w:lvlJc w:val="left"/>
      <w:pPr>
        <w:ind w:left="3263" w:hanging="118"/>
      </w:pPr>
      <w:rPr>
        <w:rFonts w:hint="default"/>
      </w:rPr>
    </w:lvl>
    <w:lvl w:ilvl="7" w:tplc="D048CFB4">
      <w:numFmt w:val="bullet"/>
      <w:lvlText w:val="•"/>
      <w:lvlJc w:val="left"/>
      <w:pPr>
        <w:ind w:left="3721" w:hanging="118"/>
      </w:pPr>
      <w:rPr>
        <w:rFonts w:hint="default"/>
      </w:rPr>
    </w:lvl>
    <w:lvl w:ilvl="8" w:tplc="C114A314">
      <w:numFmt w:val="bullet"/>
      <w:lvlText w:val="•"/>
      <w:lvlJc w:val="left"/>
      <w:pPr>
        <w:ind w:left="4178" w:hanging="118"/>
      </w:pPr>
      <w:rPr>
        <w:rFonts w:hint="default"/>
      </w:rPr>
    </w:lvl>
  </w:abstractNum>
  <w:abstractNum w:abstractNumId="1" w15:restartNumberingAfterBreak="0">
    <w:nsid w:val="64B71CD8"/>
    <w:multiLevelType w:val="hybridMultilevel"/>
    <w:tmpl w:val="776E1150"/>
    <w:lvl w:ilvl="0" w:tplc="9ED6EDE0">
      <w:start w:val="1"/>
      <w:numFmt w:val="decimal"/>
      <w:lvlText w:val="%1."/>
      <w:lvlJc w:val="left"/>
      <w:pPr>
        <w:ind w:left="2231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35DC905A">
      <w:numFmt w:val="bullet"/>
      <w:lvlText w:val="•"/>
      <w:lvlJc w:val="left"/>
      <w:pPr>
        <w:ind w:left="3027" w:hanging="202"/>
      </w:pPr>
      <w:rPr>
        <w:rFonts w:hint="default"/>
      </w:rPr>
    </w:lvl>
    <w:lvl w:ilvl="2" w:tplc="56186480">
      <w:numFmt w:val="bullet"/>
      <w:lvlText w:val="•"/>
      <w:lvlJc w:val="left"/>
      <w:pPr>
        <w:ind w:left="3814" w:hanging="202"/>
      </w:pPr>
      <w:rPr>
        <w:rFonts w:hint="default"/>
      </w:rPr>
    </w:lvl>
    <w:lvl w:ilvl="3" w:tplc="14EAD346">
      <w:numFmt w:val="bullet"/>
      <w:lvlText w:val="•"/>
      <w:lvlJc w:val="left"/>
      <w:pPr>
        <w:ind w:left="4601" w:hanging="202"/>
      </w:pPr>
      <w:rPr>
        <w:rFonts w:hint="default"/>
      </w:rPr>
    </w:lvl>
    <w:lvl w:ilvl="4" w:tplc="CDE42692">
      <w:numFmt w:val="bullet"/>
      <w:lvlText w:val="•"/>
      <w:lvlJc w:val="left"/>
      <w:pPr>
        <w:ind w:left="5388" w:hanging="202"/>
      </w:pPr>
      <w:rPr>
        <w:rFonts w:hint="default"/>
      </w:rPr>
    </w:lvl>
    <w:lvl w:ilvl="5" w:tplc="08F62520">
      <w:numFmt w:val="bullet"/>
      <w:lvlText w:val="•"/>
      <w:lvlJc w:val="left"/>
      <w:pPr>
        <w:ind w:left="6175" w:hanging="202"/>
      </w:pPr>
      <w:rPr>
        <w:rFonts w:hint="default"/>
      </w:rPr>
    </w:lvl>
    <w:lvl w:ilvl="6" w:tplc="8E82B8EC">
      <w:numFmt w:val="bullet"/>
      <w:lvlText w:val="•"/>
      <w:lvlJc w:val="left"/>
      <w:pPr>
        <w:ind w:left="6962" w:hanging="202"/>
      </w:pPr>
      <w:rPr>
        <w:rFonts w:hint="default"/>
      </w:rPr>
    </w:lvl>
    <w:lvl w:ilvl="7" w:tplc="E236C5EC">
      <w:numFmt w:val="bullet"/>
      <w:lvlText w:val="•"/>
      <w:lvlJc w:val="left"/>
      <w:pPr>
        <w:ind w:left="7749" w:hanging="202"/>
      </w:pPr>
      <w:rPr>
        <w:rFonts w:hint="default"/>
      </w:rPr>
    </w:lvl>
    <w:lvl w:ilvl="8" w:tplc="7846800C">
      <w:numFmt w:val="bullet"/>
      <w:lvlText w:val="•"/>
      <w:lvlJc w:val="left"/>
      <w:pPr>
        <w:ind w:left="8536" w:hanging="202"/>
      </w:pPr>
      <w:rPr>
        <w:rFonts w:hint="default"/>
      </w:rPr>
    </w:lvl>
  </w:abstractNum>
  <w:abstractNum w:abstractNumId="2" w15:restartNumberingAfterBreak="0">
    <w:nsid w:val="732647B1"/>
    <w:multiLevelType w:val="hybridMultilevel"/>
    <w:tmpl w:val="28385B4E"/>
    <w:lvl w:ilvl="0" w:tplc="4DECAF9E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BFF2396A">
      <w:numFmt w:val="bullet"/>
      <w:lvlText w:val="•"/>
      <w:lvlJc w:val="left"/>
      <w:pPr>
        <w:ind w:left="1748" w:hanging="360"/>
      </w:pPr>
      <w:rPr>
        <w:rFonts w:hint="default"/>
      </w:rPr>
    </w:lvl>
    <w:lvl w:ilvl="2" w:tplc="16AAE738">
      <w:numFmt w:val="bullet"/>
      <w:lvlText w:val="•"/>
      <w:lvlJc w:val="left"/>
      <w:pPr>
        <w:ind w:left="2677" w:hanging="360"/>
      </w:pPr>
      <w:rPr>
        <w:rFonts w:hint="default"/>
      </w:rPr>
    </w:lvl>
    <w:lvl w:ilvl="3" w:tplc="0ECA9C44">
      <w:numFmt w:val="bullet"/>
      <w:lvlText w:val="•"/>
      <w:lvlJc w:val="left"/>
      <w:pPr>
        <w:ind w:left="3606" w:hanging="360"/>
      </w:pPr>
      <w:rPr>
        <w:rFonts w:hint="default"/>
      </w:rPr>
    </w:lvl>
    <w:lvl w:ilvl="4" w:tplc="7C205078">
      <w:numFmt w:val="bullet"/>
      <w:lvlText w:val="•"/>
      <w:lvlJc w:val="left"/>
      <w:pPr>
        <w:ind w:left="4535" w:hanging="360"/>
      </w:pPr>
      <w:rPr>
        <w:rFonts w:hint="default"/>
      </w:rPr>
    </w:lvl>
    <w:lvl w:ilvl="5" w:tplc="95960ECA">
      <w:numFmt w:val="bullet"/>
      <w:lvlText w:val="•"/>
      <w:lvlJc w:val="left"/>
      <w:pPr>
        <w:ind w:left="5464" w:hanging="360"/>
      </w:pPr>
      <w:rPr>
        <w:rFonts w:hint="default"/>
      </w:rPr>
    </w:lvl>
    <w:lvl w:ilvl="6" w:tplc="AE22E41C">
      <w:numFmt w:val="bullet"/>
      <w:lvlText w:val="•"/>
      <w:lvlJc w:val="left"/>
      <w:pPr>
        <w:ind w:left="6393" w:hanging="360"/>
      </w:pPr>
      <w:rPr>
        <w:rFonts w:hint="default"/>
      </w:rPr>
    </w:lvl>
    <w:lvl w:ilvl="7" w:tplc="CB0C131E">
      <w:numFmt w:val="bullet"/>
      <w:lvlText w:val="•"/>
      <w:lvlJc w:val="left"/>
      <w:pPr>
        <w:ind w:left="7322" w:hanging="360"/>
      </w:pPr>
      <w:rPr>
        <w:rFonts w:hint="default"/>
      </w:rPr>
    </w:lvl>
    <w:lvl w:ilvl="8" w:tplc="C8FE3AE8">
      <w:numFmt w:val="bullet"/>
      <w:lvlText w:val="•"/>
      <w:lvlJc w:val="left"/>
      <w:pPr>
        <w:ind w:left="8251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F4115B"/>
    <w:rsid w:val="00502662"/>
    <w:rsid w:val="007C4054"/>
    <w:rsid w:val="0095639E"/>
    <w:rsid w:val="00ED3236"/>
    <w:rsid w:val="00F4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BD5843D-7270-4257-A7D8-8302E5F8C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zobosz@chem.elte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zalai.istvan@chem.elte.hu" TargetMode="External"/><Relationship Id="rId5" Type="http://schemas.openxmlformats.org/officeDocument/2006/relationships/hyperlink" Target="mailto:noszal.bela@pharma.semmelweis-univ.h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1168</Words>
  <Characters>8062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Általános és szervetlen kémiaI._magyar_2018-19</vt:lpstr>
    </vt:vector>
  </TitlesOfParts>
  <Company/>
  <LinksUpToDate>false</LinksUpToDate>
  <CharactersWithSpaces>9212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Általános és szervetlen kémiaI._magyar_2018-19</dc:title>
  <dc:creator>Nonlin</dc:creator>
  <cp:lastModifiedBy>Ambrus Péter</cp:lastModifiedBy>
  <cp:revision>5</cp:revision>
  <dcterms:created xsi:type="dcterms:W3CDTF">2018-04-26T12:03:00Z</dcterms:created>
  <dcterms:modified xsi:type="dcterms:W3CDTF">2018-04-26T12:58:00Z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2018-04-23T00:00:00Z</vt:filetime>
  </property>
  <property fmtid="{D5CDD505-2E9C-101B-9397-08002B2CF9AE}" pid="3" name="Creator">
    <vt:lpwstr>PDFCreator 2.5.3.6324</vt:lpwstr>
  </property>
  <property fmtid="{D5CDD505-2E9C-101B-9397-08002B2CF9AE}" pid="4" name="LastSaved">
    <vt:filetime>2018-04-26T00:00:00Z</vt:filetime>
  </property>
</Properties>
</file>