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47D13" w:rsidRPr="00AB066D" w:rsidRDefault="00B47D13" w:rsidP="00B47D13">
      <w:pPr>
        <w:spacing w:after="200" w:line="360" w:lineRule="auto"/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:rsidR="00F175CE" w:rsidRPr="008F13AB" w:rsidRDefault="00F175CE" w:rsidP="009F06A9">
      <w:pPr>
        <w:spacing w:line="276" w:lineRule="auto"/>
        <w:jc w:val="center"/>
        <w:rPr>
          <w:b/>
        </w:rPr>
      </w:pPr>
      <w:r>
        <w:rPr>
          <w:b/>
        </w:rPr>
        <w:t>VIZSGANAPTÁR</w:t>
      </w:r>
      <w:r w:rsidR="00CC420F">
        <w:rPr>
          <w:b/>
        </w:rPr>
        <w:t xml:space="preserve"> 2018. ősz</w:t>
      </w:r>
    </w:p>
    <w:p w:rsidR="009F06A9" w:rsidRPr="007A0E1D" w:rsidRDefault="009F06A9" w:rsidP="009F06A9">
      <w:pPr>
        <w:spacing w:line="276" w:lineRule="auto"/>
        <w:jc w:val="center"/>
      </w:pPr>
    </w:p>
    <w:p w:rsidR="009303E6" w:rsidRDefault="009303E6" w:rsidP="009F06A9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5CE" w:rsidRPr="00DE10AD" w:rsidTr="007E2431">
        <w:tc>
          <w:tcPr>
            <w:tcW w:w="9062" w:type="dxa"/>
          </w:tcPr>
          <w:p w:rsidR="00F175CE" w:rsidRPr="00DE10AD" w:rsidRDefault="00F175CE" w:rsidP="008D7FE8">
            <w:pPr>
              <w:jc w:val="center"/>
              <w:rPr>
                <w:b/>
              </w:rPr>
            </w:pPr>
            <w:r w:rsidRPr="00DE10AD">
              <w:rPr>
                <w:b/>
              </w:rPr>
              <w:t>Szakorvosi, szakfogorvosi, szakgyógyszerészi, szakpszichológusi, és egyéb egészségügyi felsőfokú képzésekre irányadó tájékoztatás</w:t>
            </w:r>
          </w:p>
          <w:p w:rsidR="00F175CE" w:rsidRPr="00DE10AD" w:rsidRDefault="00F175CE" w:rsidP="008D7FE8">
            <w:pPr>
              <w:jc w:val="both"/>
            </w:pPr>
          </w:p>
          <w:p w:rsidR="00F175CE" w:rsidRPr="00DE10AD" w:rsidRDefault="00F175CE" w:rsidP="008D7FE8">
            <w:pPr>
              <w:jc w:val="both"/>
            </w:pPr>
            <w:r w:rsidRPr="00DE10AD">
              <w:t xml:space="preserve">Azon jelöltek esetében, akik 2012. szeptember 15. napja előtt kezdték meg a szakképzési idejüket, a 66/1999. (XII. 25.) EüM rendeletben, valamint az egyéb egészségügyi felsőfokú szakképesítések esetében a külön rájuk vonatkozó </w:t>
            </w:r>
            <w:r w:rsidRPr="00DE10AD">
              <w:rPr>
                <w:rFonts w:eastAsia="Calibri"/>
                <w:bCs/>
              </w:rPr>
              <w:t xml:space="preserve">41/2005. (IX. 22.) EüM </w:t>
            </w:r>
            <w:r w:rsidRPr="00DE10AD">
              <w:t xml:space="preserve">rendeletben és </w:t>
            </w:r>
            <w:r w:rsidRPr="00DE10AD">
              <w:rPr>
                <w:bCs/>
              </w:rPr>
              <w:t xml:space="preserve">19/2007. (IV. 17.) </w:t>
            </w:r>
            <w:r w:rsidRPr="00DE10AD">
              <w:rPr>
                <w:rFonts w:eastAsia="Calibri"/>
                <w:bCs/>
              </w:rPr>
              <w:t xml:space="preserve">EüM </w:t>
            </w:r>
            <w:r w:rsidRPr="00DE10AD">
              <w:t>rendeletben</w:t>
            </w:r>
            <w:r w:rsidRPr="00DE10AD">
              <w:rPr>
                <w:b/>
              </w:rPr>
              <w:t xml:space="preserve"> </w:t>
            </w:r>
            <w:r w:rsidRPr="00DE10AD">
              <w:t>meghatározott szakmegnevezés használatára lesznek jogosultak.</w:t>
            </w:r>
          </w:p>
          <w:p w:rsidR="00F175CE" w:rsidRPr="00DE10AD" w:rsidRDefault="00F175CE" w:rsidP="008D7FE8">
            <w:pPr>
              <w:jc w:val="both"/>
            </w:pPr>
          </w:p>
          <w:p w:rsidR="00F175CE" w:rsidRPr="00DE10AD" w:rsidRDefault="00F175CE" w:rsidP="008D7FE8">
            <w:pPr>
              <w:jc w:val="both"/>
            </w:pPr>
            <w:r w:rsidRPr="00DE10AD">
              <w:t>Azon jelöltek eset</w:t>
            </w:r>
            <w:r w:rsidR="00B66BEC">
              <w:t>ében, akik 2012. szeptember 15-</w:t>
            </w:r>
            <w:r w:rsidRPr="00DE10AD">
              <w:t>én és azt követően kezdték meg a szakképzési idejüket, ide értve az egyéb egészségügyi felsőfokú szakképesítéseket is, a 22/2012. (IX. 14.) EMMI rendeletben meghatározott szakmegnevezés használatára lesznek jogosultak.</w:t>
            </w:r>
          </w:p>
          <w:p w:rsidR="00F175CE" w:rsidRPr="00DE10AD" w:rsidRDefault="00F175CE" w:rsidP="008D7FE8">
            <w:pPr>
              <w:jc w:val="both"/>
            </w:pPr>
          </w:p>
          <w:p w:rsidR="00F175CE" w:rsidRPr="00DE10AD" w:rsidRDefault="00F175CE" w:rsidP="008D7FE8">
            <w:pPr>
              <w:jc w:val="both"/>
              <w:rPr>
                <w:b/>
              </w:rPr>
            </w:pPr>
            <w:r w:rsidRPr="00DE10AD">
              <w:t>Azon jelöltek esetében, akik a licenc megszerzését célzó egészségügyi szakirányú szakmai továbbképzést lezáró licenc vizsgára jelentkeznek, a 23/2012. (IX.14.) EMMI rendelet 1. számú mellékletében meghatározott elnevezés használatára lesznek jogosultak. Ezen melléklet megjelentetésére a későbbiekben kerül sor.</w:t>
            </w:r>
          </w:p>
        </w:tc>
      </w:tr>
      <w:tr w:rsidR="00F175CE" w:rsidRPr="00DE10AD" w:rsidTr="007E2431">
        <w:tc>
          <w:tcPr>
            <w:tcW w:w="9062" w:type="dxa"/>
          </w:tcPr>
          <w:p w:rsidR="00F175CE" w:rsidRPr="00DE10AD" w:rsidRDefault="00F175CE" w:rsidP="008D7FE8">
            <w:pPr>
              <w:jc w:val="both"/>
            </w:pPr>
          </w:p>
        </w:tc>
      </w:tr>
    </w:tbl>
    <w:p w:rsidR="00F175CE" w:rsidRPr="00DE10AD" w:rsidRDefault="00F175CE" w:rsidP="00F175C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8"/>
        <w:gridCol w:w="18"/>
        <w:gridCol w:w="4526"/>
      </w:tblGrid>
      <w:tr w:rsidR="00F175CE" w:rsidRPr="00DE10AD" w:rsidTr="00F175CE">
        <w:tc>
          <w:tcPr>
            <w:tcW w:w="9062" w:type="dxa"/>
            <w:gridSpan w:val="3"/>
          </w:tcPr>
          <w:p w:rsidR="00F175CE" w:rsidRPr="00DE10AD" w:rsidRDefault="00F175CE" w:rsidP="008D7FE8">
            <w:pPr>
              <w:rPr>
                <w:b/>
                <w:bCs/>
              </w:rPr>
            </w:pPr>
          </w:p>
          <w:p w:rsidR="00F175CE" w:rsidRPr="00DE10AD" w:rsidRDefault="00F175CE" w:rsidP="008D7FE8">
            <w:pPr>
              <w:jc w:val="center"/>
              <w:rPr>
                <w:b/>
                <w:bCs/>
              </w:rPr>
            </w:pPr>
            <w:r w:rsidRPr="00DE10AD">
              <w:rPr>
                <w:b/>
                <w:bCs/>
              </w:rPr>
              <w:t xml:space="preserve">Szakgyógyszerészi szak vizsgaidőszaka: </w:t>
            </w:r>
            <w:r w:rsidR="008657ED">
              <w:rPr>
                <w:b/>
                <w:bCs/>
              </w:rPr>
              <w:t>2018.</w:t>
            </w:r>
            <w:r w:rsidR="008034C9">
              <w:rPr>
                <w:b/>
                <w:bCs/>
              </w:rPr>
              <w:t xml:space="preserve"> 10</w:t>
            </w:r>
            <w:r w:rsidRPr="00DE10AD">
              <w:rPr>
                <w:b/>
                <w:bCs/>
              </w:rPr>
              <w:t xml:space="preserve">. </w:t>
            </w:r>
            <w:r w:rsidR="00A34D15">
              <w:rPr>
                <w:b/>
                <w:bCs/>
              </w:rPr>
              <w:t>08 - 31</w:t>
            </w:r>
            <w:r w:rsidRPr="00DE10AD">
              <w:rPr>
                <w:b/>
                <w:bCs/>
              </w:rPr>
              <w:t>.</w:t>
            </w:r>
          </w:p>
          <w:p w:rsidR="00F175CE" w:rsidRPr="00DE10AD" w:rsidRDefault="00F175CE" w:rsidP="008D7FE8">
            <w:pPr>
              <w:jc w:val="center"/>
              <w:rPr>
                <w:b/>
                <w:bCs/>
              </w:rPr>
            </w:pPr>
          </w:p>
          <w:p w:rsidR="00F175CE" w:rsidRPr="00DE10AD" w:rsidRDefault="00F175CE" w:rsidP="008D7FE8">
            <w:pPr>
              <w:jc w:val="center"/>
              <w:rPr>
                <w:b/>
                <w:bCs/>
              </w:rPr>
            </w:pPr>
            <w:r w:rsidRPr="00DE10AD">
              <w:rPr>
                <w:b/>
                <w:bCs/>
              </w:rPr>
              <w:t xml:space="preserve">Ügyintéző: </w:t>
            </w:r>
            <w:r w:rsidR="008E5FF2">
              <w:rPr>
                <w:b/>
                <w:bCs/>
              </w:rPr>
              <w:t>Wieland Viktória</w:t>
            </w:r>
            <w:r w:rsidR="00F17761">
              <w:rPr>
                <w:b/>
                <w:bCs/>
              </w:rPr>
              <w:t xml:space="preserve"> </w:t>
            </w:r>
          </w:p>
          <w:p w:rsidR="00F175CE" w:rsidRPr="00DE10AD" w:rsidRDefault="00F175CE" w:rsidP="008D7FE8">
            <w:pPr>
              <w:jc w:val="center"/>
              <w:rPr>
                <w:b/>
                <w:bCs/>
              </w:rPr>
            </w:pPr>
          </w:p>
        </w:tc>
      </w:tr>
      <w:tr w:rsidR="00F175CE" w:rsidRPr="00DE10AD" w:rsidTr="00F175CE">
        <w:tc>
          <w:tcPr>
            <w:tcW w:w="9062" w:type="dxa"/>
            <w:gridSpan w:val="3"/>
          </w:tcPr>
          <w:p w:rsidR="00F175CE" w:rsidRPr="00DE10AD" w:rsidRDefault="00F175CE" w:rsidP="008D7FE8">
            <w:pPr>
              <w:jc w:val="center"/>
              <w:rPr>
                <w:b/>
              </w:rPr>
            </w:pPr>
            <w:r w:rsidRPr="00DE10AD">
              <w:rPr>
                <w:b/>
              </w:rPr>
              <w:t>Szakgyógyszerészi alapképzések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pPr>
              <w:jc w:val="center"/>
              <w:rPr>
                <w:b/>
              </w:rPr>
            </w:pPr>
            <w:r w:rsidRPr="00DE10AD">
              <w:rPr>
                <w:b/>
              </w:rPr>
              <w:t>66/1999. (XII. 25.) EüM rendelet szerint</w:t>
            </w:r>
          </w:p>
        </w:tc>
        <w:tc>
          <w:tcPr>
            <w:tcW w:w="4526" w:type="dxa"/>
          </w:tcPr>
          <w:p w:rsidR="00F175CE" w:rsidRPr="00DE10AD" w:rsidRDefault="00F175CE" w:rsidP="008D7FE8">
            <w:pPr>
              <w:jc w:val="center"/>
              <w:rPr>
                <w:b/>
              </w:rPr>
            </w:pPr>
            <w:r w:rsidRPr="00DE10AD">
              <w:rPr>
                <w:b/>
              </w:rPr>
              <w:t>22/2012. (IX. 14.) EMMI rendelet szerint</w:t>
            </w:r>
          </w:p>
        </w:tc>
      </w:tr>
      <w:tr w:rsidR="00F175CE" w:rsidRPr="00DE10AD" w:rsidTr="00F175CE">
        <w:tc>
          <w:tcPr>
            <w:tcW w:w="4536" w:type="dxa"/>
            <w:gridSpan w:val="2"/>
            <w:vMerge w:val="restart"/>
          </w:tcPr>
          <w:p w:rsidR="00F175CE" w:rsidRPr="00DE10AD" w:rsidRDefault="00F175CE" w:rsidP="008D7FE8">
            <w:r w:rsidRPr="00DE10AD">
              <w:t>Gyógyszertechnológia</w:t>
            </w:r>
          </w:p>
        </w:tc>
        <w:tc>
          <w:tcPr>
            <w:tcW w:w="4526" w:type="dxa"/>
          </w:tcPr>
          <w:p w:rsidR="00F175CE" w:rsidRPr="00DE10AD" w:rsidRDefault="00F175CE" w:rsidP="008D7FE8">
            <w:r w:rsidRPr="00DE10AD">
              <w:t>Gyógyszertechnológia</w:t>
            </w:r>
          </w:p>
        </w:tc>
      </w:tr>
      <w:tr w:rsidR="00F175CE" w:rsidRPr="00DE10AD" w:rsidTr="00F175CE">
        <w:tc>
          <w:tcPr>
            <w:tcW w:w="4536" w:type="dxa"/>
            <w:gridSpan w:val="2"/>
            <w:vMerge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>Gyógyszerkészítés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Gyógyszerellenőrzés</w:t>
            </w:r>
          </w:p>
        </w:tc>
        <w:tc>
          <w:tcPr>
            <w:tcW w:w="4526" w:type="dxa"/>
          </w:tcPr>
          <w:p w:rsidR="00F175CE" w:rsidRPr="00DE10AD" w:rsidRDefault="00F175CE" w:rsidP="008D7FE8">
            <w:pPr>
              <w:rPr>
                <w:b/>
              </w:rPr>
            </w:pPr>
            <w:r w:rsidRPr="00DE10AD">
              <w:t>Gyógyszerellenőrzés</w:t>
            </w:r>
          </w:p>
        </w:tc>
      </w:tr>
      <w:tr w:rsidR="00F175CE" w:rsidRPr="00DE10AD" w:rsidTr="00F175CE">
        <w:tc>
          <w:tcPr>
            <w:tcW w:w="4536" w:type="dxa"/>
            <w:gridSpan w:val="2"/>
            <w:vMerge w:val="restart"/>
          </w:tcPr>
          <w:p w:rsidR="00F175CE" w:rsidRPr="00DE10AD" w:rsidRDefault="00F175CE" w:rsidP="008D7FE8">
            <w:r w:rsidRPr="00DE10AD">
              <w:t>Gyógyszerhatástan</w:t>
            </w:r>
          </w:p>
        </w:tc>
        <w:tc>
          <w:tcPr>
            <w:tcW w:w="4526" w:type="dxa"/>
          </w:tcPr>
          <w:p w:rsidR="00F175CE" w:rsidRPr="00DE10AD" w:rsidRDefault="00F175CE" w:rsidP="008D7FE8">
            <w:r w:rsidRPr="00DE10AD">
              <w:t xml:space="preserve">Farmakológia, </w:t>
            </w:r>
            <w:proofErr w:type="spellStart"/>
            <w:r w:rsidRPr="00DE10AD">
              <w:t>farmakoterápia</w:t>
            </w:r>
            <w:proofErr w:type="spellEnd"/>
          </w:p>
        </w:tc>
      </w:tr>
      <w:tr w:rsidR="00F175CE" w:rsidRPr="00DE10AD" w:rsidTr="00F175CE">
        <w:tc>
          <w:tcPr>
            <w:tcW w:w="4536" w:type="dxa"/>
            <w:gridSpan w:val="2"/>
            <w:vMerge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>Nem klinikai és klinikai gyógyszerkutatás, farmakológia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Gyógyszerkémia</w:t>
            </w:r>
          </w:p>
        </w:tc>
        <w:tc>
          <w:tcPr>
            <w:tcW w:w="4526" w:type="dxa"/>
          </w:tcPr>
          <w:p w:rsidR="00F175CE" w:rsidRPr="00DE10AD" w:rsidRDefault="00F175CE" w:rsidP="008D7FE8">
            <w:pPr>
              <w:rPr>
                <w:b/>
              </w:rPr>
            </w:pPr>
            <w:r w:rsidRPr="00DE10AD">
              <w:t>Hatóanyagkutatás és gyógyszerkémia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Társadalomgyógyszerészet</w:t>
            </w:r>
          </w:p>
        </w:tc>
        <w:tc>
          <w:tcPr>
            <w:tcW w:w="4526" w:type="dxa"/>
            <w:vMerge w:val="restart"/>
          </w:tcPr>
          <w:p w:rsidR="00F175CE" w:rsidRPr="00DE10AD" w:rsidRDefault="00F175CE" w:rsidP="008D7FE8">
            <w:pPr>
              <w:rPr>
                <w:b/>
              </w:rPr>
            </w:pPr>
            <w:r w:rsidRPr="00DE10AD">
              <w:t>Gyógyszerügyi szakigazgatás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Gyógyszerügyi szervezés is igazgatás</w:t>
            </w:r>
          </w:p>
        </w:tc>
        <w:tc>
          <w:tcPr>
            <w:tcW w:w="4526" w:type="dxa"/>
            <w:vMerge/>
          </w:tcPr>
          <w:p w:rsidR="00F175CE" w:rsidRPr="00DE10AD" w:rsidRDefault="00F175CE" w:rsidP="008D7FE8"/>
        </w:tc>
      </w:tr>
      <w:tr w:rsidR="00F175CE" w:rsidRPr="00DE10AD" w:rsidTr="00F175CE">
        <w:tc>
          <w:tcPr>
            <w:tcW w:w="4536" w:type="dxa"/>
            <w:gridSpan w:val="2"/>
            <w:vMerge w:val="restart"/>
          </w:tcPr>
          <w:p w:rsidR="00F175CE" w:rsidRPr="00DE10AD" w:rsidRDefault="00F175CE" w:rsidP="008D7FE8">
            <w:proofErr w:type="spellStart"/>
            <w:r w:rsidRPr="00DE10AD">
              <w:t>Farmakognózia</w:t>
            </w:r>
            <w:proofErr w:type="spellEnd"/>
            <w:r w:rsidRPr="00DE10AD">
              <w:t xml:space="preserve"> és </w:t>
            </w:r>
            <w:proofErr w:type="spellStart"/>
            <w:r w:rsidRPr="00DE10AD">
              <w:t>fitoterápia</w:t>
            </w:r>
            <w:proofErr w:type="spellEnd"/>
          </w:p>
        </w:tc>
        <w:tc>
          <w:tcPr>
            <w:tcW w:w="4526" w:type="dxa"/>
          </w:tcPr>
          <w:p w:rsidR="00F175CE" w:rsidRPr="00DE10AD" w:rsidRDefault="00F175CE" w:rsidP="008D7FE8">
            <w:proofErr w:type="spellStart"/>
            <w:r w:rsidRPr="00DE10AD">
              <w:t>Fitoterápia</w:t>
            </w:r>
            <w:proofErr w:type="spellEnd"/>
          </w:p>
        </w:tc>
      </w:tr>
      <w:tr w:rsidR="00F175CE" w:rsidRPr="00DE10AD" w:rsidTr="00F175CE">
        <w:tc>
          <w:tcPr>
            <w:tcW w:w="4536" w:type="dxa"/>
            <w:gridSpan w:val="2"/>
            <w:vMerge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 xml:space="preserve">Növényi alapú szerek fejlesztése és előállítása, </w:t>
            </w:r>
            <w:proofErr w:type="spellStart"/>
            <w:r w:rsidRPr="00DE10AD">
              <w:t>farmakognózia</w:t>
            </w:r>
            <w:proofErr w:type="spellEnd"/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Klinikai laboratóriumi diagnosztika</w:t>
            </w:r>
          </w:p>
        </w:tc>
        <w:tc>
          <w:tcPr>
            <w:tcW w:w="4526" w:type="dxa"/>
          </w:tcPr>
          <w:p w:rsidR="00F175CE" w:rsidRPr="00DE10AD" w:rsidRDefault="00F175CE" w:rsidP="008D7FE8">
            <w:r w:rsidRPr="00DE10AD">
              <w:t>Klinikai laboratóriumi gyógyszerészet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Gyógyszerellátási gyógyszerészet</w:t>
            </w:r>
          </w:p>
        </w:tc>
        <w:tc>
          <w:tcPr>
            <w:tcW w:w="4526" w:type="dxa"/>
          </w:tcPr>
          <w:p w:rsidR="00F175CE" w:rsidRPr="00DE10AD" w:rsidRDefault="00F175CE" w:rsidP="008D7FE8">
            <w:r w:rsidRPr="00DE10AD">
              <w:t>Gyógyszertár üzemeltetés, vezetés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proofErr w:type="spellStart"/>
            <w:r w:rsidRPr="00DE10AD">
              <w:t>Radiogyógyszerészet</w:t>
            </w:r>
            <w:proofErr w:type="spellEnd"/>
          </w:p>
        </w:tc>
        <w:tc>
          <w:tcPr>
            <w:tcW w:w="4526" w:type="dxa"/>
          </w:tcPr>
          <w:p w:rsidR="00F175CE" w:rsidRPr="00DE10AD" w:rsidRDefault="00F175CE" w:rsidP="008D7FE8">
            <w:pPr>
              <w:rPr>
                <w:b/>
              </w:rPr>
            </w:pPr>
            <w:proofErr w:type="spellStart"/>
            <w:r w:rsidRPr="00DE10AD">
              <w:t>Radiogyógyszerészet</w:t>
            </w:r>
            <w:proofErr w:type="spellEnd"/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Kórházi gyógyszerészet</w:t>
            </w:r>
          </w:p>
        </w:tc>
        <w:tc>
          <w:tcPr>
            <w:tcW w:w="4526" w:type="dxa"/>
            <w:vMerge w:val="restart"/>
          </w:tcPr>
          <w:p w:rsidR="00F175CE" w:rsidRPr="00DE10AD" w:rsidRDefault="00F175CE" w:rsidP="008D7FE8">
            <w:r w:rsidRPr="00DE10AD">
              <w:t>Kórházi-klinikai szakgyógyszerészet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Klinikai gyógyszerészet</w:t>
            </w:r>
          </w:p>
        </w:tc>
        <w:tc>
          <w:tcPr>
            <w:tcW w:w="4526" w:type="dxa"/>
            <w:vMerge/>
          </w:tcPr>
          <w:p w:rsidR="00F175CE" w:rsidRPr="00DE10AD" w:rsidRDefault="00F175CE" w:rsidP="008D7FE8">
            <w:pPr>
              <w:rPr>
                <w:b/>
              </w:rPr>
            </w:pP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Minőségbiztosítás</w:t>
            </w:r>
          </w:p>
        </w:tc>
        <w:tc>
          <w:tcPr>
            <w:tcW w:w="4526" w:type="dxa"/>
          </w:tcPr>
          <w:p w:rsidR="00F175CE" w:rsidRPr="00DE10AD" w:rsidRDefault="00F175CE" w:rsidP="008D7FE8">
            <w:pPr>
              <w:rPr>
                <w:b/>
              </w:rPr>
            </w:pPr>
            <w:r w:rsidRPr="00DE10AD">
              <w:t>Minőségbiztosítás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Toxikológia</w:t>
            </w:r>
          </w:p>
        </w:tc>
        <w:tc>
          <w:tcPr>
            <w:tcW w:w="4526" w:type="dxa"/>
          </w:tcPr>
          <w:p w:rsidR="00F175CE" w:rsidRPr="00DE10AD" w:rsidRDefault="00F175CE" w:rsidP="008D7FE8">
            <w:pPr>
              <w:rPr>
                <w:b/>
              </w:rPr>
            </w:pP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>
            <w:r w:rsidRPr="00DE10AD">
              <w:t>Gyógyszerészi mikrobiológia</w:t>
            </w:r>
          </w:p>
        </w:tc>
        <w:tc>
          <w:tcPr>
            <w:tcW w:w="4526" w:type="dxa"/>
          </w:tcPr>
          <w:p w:rsidR="00F175CE" w:rsidRPr="00DE10AD" w:rsidRDefault="00F175CE" w:rsidP="008D7FE8"/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>Klinikai mikrobiológiai laboratóriumi gyógyszerészet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>Gyógyszertári minőségbiztosítás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>Biológiai gyógyszerek fejlesztése és előállítása, gyógyszer-biotechnológia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>Gyógyszerengedélyezés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proofErr w:type="spellStart"/>
            <w:r w:rsidRPr="00DE10AD">
              <w:t>Farmakovigilincia</w:t>
            </w:r>
            <w:proofErr w:type="spellEnd"/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>
            <w:r w:rsidRPr="00DE10AD">
              <w:t>Gyógyszerészi gondozás</w:t>
            </w:r>
          </w:p>
        </w:tc>
      </w:tr>
      <w:tr w:rsidR="00F175CE" w:rsidRPr="00DE10AD" w:rsidTr="00F175CE">
        <w:tc>
          <w:tcPr>
            <w:tcW w:w="4536" w:type="dxa"/>
            <w:gridSpan w:val="2"/>
          </w:tcPr>
          <w:p w:rsidR="00F175CE" w:rsidRPr="00DE10AD" w:rsidRDefault="00F175CE" w:rsidP="008D7FE8"/>
        </w:tc>
        <w:tc>
          <w:tcPr>
            <w:tcW w:w="4526" w:type="dxa"/>
          </w:tcPr>
          <w:p w:rsidR="00F175CE" w:rsidRPr="00DE10AD" w:rsidRDefault="00F175CE" w:rsidP="008D7FE8"/>
        </w:tc>
      </w:tr>
      <w:tr w:rsidR="00F175CE" w:rsidRPr="00DE10AD" w:rsidTr="008D7FE8">
        <w:tc>
          <w:tcPr>
            <w:tcW w:w="9062" w:type="dxa"/>
            <w:gridSpan w:val="3"/>
          </w:tcPr>
          <w:p w:rsidR="001E18E4" w:rsidRDefault="001E18E4" w:rsidP="008D7FE8">
            <w:pPr>
              <w:jc w:val="center"/>
              <w:rPr>
                <w:b/>
              </w:rPr>
            </w:pPr>
          </w:p>
          <w:p w:rsidR="00F175CE" w:rsidRDefault="00F175CE" w:rsidP="008D7FE8">
            <w:pPr>
              <w:jc w:val="center"/>
              <w:rPr>
                <w:b/>
              </w:rPr>
            </w:pPr>
            <w:r w:rsidRPr="00DE10AD">
              <w:rPr>
                <w:b/>
              </w:rPr>
              <w:t>Szakgyógyszerészi ráépített képzések</w:t>
            </w:r>
          </w:p>
          <w:p w:rsidR="00F175CE" w:rsidRPr="00DE10AD" w:rsidRDefault="00F175CE" w:rsidP="008D7FE8">
            <w:pPr>
              <w:jc w:val="center"/>
              <w:rPr>
                <w:b/>
              </w:rPr>
            </w:pP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>
            <w:pPr>
              <w:jc w:val="center"/>
              <w:rPr>
                <w:b/>
              </w:rPr>
            </w:pPr>
            <w:r w:rsidRPr="00DE10AD">
              <w:rPr>
                <w:b/>
              </w:rPr>
              <w:t>66/1999. (XII. 25.) EüM rendelet szerint</w:t>
            </w:r>
          </w:p>
        </w:tc>
        <w:tc>
          <w:tcPr>
            <w:tcW w:w="4544" w:type="dxa"/>
            <w:gridSpan w:val="2"/>
          </w:tcPr>
          <w:p w:rsidR="00F175CE" w:rsidRPr="00DE10AD" w:rsidRDefault="00F175CE" w:rsidP="008D7FE8">
            <w:pPr>
              <w:jc w:val="center"/>
              <w:rPr>
                <w:b/>
              </w:rPr>
            </w:pPr>
            <w:r w:rsidRPr="00DE10AD">
              <w:rPr>
                <w:b/>
              </w:rPr>
              <w:t>22/2012. (IX. 14.) EMMI rendelet szerint</w:t>
            </w: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/>
        </w:tc>
        <w:tc>
          <w:tcPr>
            <w:tcW w:w="4544" w:type="dxa"/>
            <w:gridSpan w:val="2"/>
          </w:tcPr>
          <w:p w:rsidR="00F175CE" w:rsidRPr="00DE10AD" w:rsidRDefault="00F175CE" w:rsidP="008D7FE8">
            <w:r w:rsidRPr="00DE10AD">
              <w:t>Onkológiai gyógyszerészet</w:t>
            </w: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/>
        </w:tc>
        <w:tc>
          <w:tcPr>
            <w:tcW w:w="4544" w:type="dxa"/>
            <w:gridSpan w:val="2"/>
          </w:tcPr>
          <w:p w:rsidR="00F175CE" w:rsidRPr="00DE10AD" w:rsidRDefault="00F175CE" w:rsidP="008D7FE8">
            <w:proofErr w:type="spellStart"/>
            <w:r w:rsidRPr="00DE10AD">
              <w:t>Infektológiai</w:t>
            </w:r>
            <w:proofErr w:type="spellEnd"/>
            <w:r w:rsidRPr="00DE10AD">
              <w:t xml:space="preserve"> gyógyszerészet</w:t>
            </w: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/>
        </w:tc>
        <w:tc>
          <w:tcPr>
            <w:tcW w:w="4544" w:type="dxa"/>
            <w:gridSpan w:val="2"/>
          </w:tcPr>
          <w:p w:rsidR="00F175CE" w:rsidRPr="00DE10AD" w:rsidRDefault="00F175CE" w:rsidP="008D7FE8">
            <w:r w:rsidRPr="00DE10AD">
              <w:t>Pediátriai gyógyszerészet</w:t>
            </w: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/>
        </w:tc>
        <w:tc>
          <w:tcPr>
            <w:tcW w:w="4544" w:type="dxa"/>
            <w:gridSpan w:val="2"/>
          </w:tcPr>
          <w:p w:rsidR="00F175CE" w:rsidRPr="00DE10AD" w:rsidRDefault="00F175CE" w:rsidP="008D7FE8">
            <w:r w:rsidRPr="00DE10AD">
              <w:t>Gyógyszer-információ és terápiás tanácsadás</w:t>
            </w: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/>
        </w:tc>
        <w:tc>
          <w:tcPr>
            <w:tcW w:w="4544" w:type="dxa"/>
            <w:gridSpan w:val="2"/>
          </w:tcPr>
          <w:p w:rsidR="00F175CE" w:rsidRPr="00DE10AD" w:rsidRDefault="00F175CE" w:rsidP="008D7FE8">
            <w:proofErr w:type="spellStart"/>
            <w:r w:rsidRPr="00DE10AD">
              <w:t>Parentális</w:t>
            </w:r>
            <w:proofErr w:type="spellEnd"/>
            <w:r w:rsidRPr="00DE10AD">
              <w:t xml:space="preserve"> gyógyszerelés</w:t>
            </w: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/>
        </w:tc>
        <w:tc>
          <w:tcPr>
            <w:tcW w:w="4544" w:type="dxa"/>
            <w:gridSpan w:val="2"/>
          </w:tcPr>
          <w:p w:rsidR="00F175CE" w:rsidRPr="00DE10AD" w:rsidRDefault="00F175CE" w:rsidP="008D7FE8">
            <w:r w:rsidRPr="00DE10AD">
              <w:t>Toxikológia</w:t>
            </w:r>
          </w:p>
        </w:tc>
      </w:tr>
      <w:tr w:rsidR="00F175CE" w:rsidRPr="00DE10AD" w:rsidTr="008D7FE8">
        <w:tc>
          <w:tcPr>
            <w:tcW w:w="4518" w:type="dxa"/>
          </w:tcPr>
          <w:p w:rsidR="00F175CE" w:rsidRPr="00DE10AD" w:rsidRDefault="00F175CE" w:rsidP="008D7FE8"/>
        </w:tc>
        <w:tc>
          <w:tcPr>
            <w:tcW w:w="4544" w:type="dxa"/>
            <w:gridSpan w:val="2"/>
          </w:tcPr>
          <w:p w:rsidR="00F175CE" w:rsidRPr="00DE10AD" w:rsidRDefault="00F175CE" w:rsidP="008D7FE8">
            <w:r w:rsidRPr="00DE10AD">
              <w:t xml:space="preserve">Klinikai </w:t>
            </w:r>
            <w:proofErr w:type="spellStart"/>
            <w:r w:rsidRPr="00DE10AD">
              <w:t>radiogyógyszerészet</w:t>
            </w:r>
            <w:proofErr w:type="spellEnd"/>
          </w:p>
        </w:tc>
      </w:tr>
    </w:tbl>
    <w:p w:rsidR="00F175CE" w:rsidRDefault="00F175CE" w:rsidP="00F175CE">
      <w:pPr>
        <w:spacing w:after="200" w:line="276" w:lineRule="auto"/>
      </w:pPr>
    </w:p>
    <w:p w:rsidR="00F175CE" w:rsidRDefault="00F175CE" w:rsidP="00F175CE">
      <w:pPr>
        <w:spacing w:after="200" w:line="276" w:lineRule="auto"/>
      </w:pPr>
    </w:p>
    <w:p w:rsidR="00764B62" w:rsidRDefault="00764B62" w:rsidP="00F175CE">
      <w:pPr>
        <w:spacing w:after="200" w:line="276" w:lineRule="auto"/>
      </w:pPr>
    </w:p>
    <w:p w:rsidR="00764B62" w:rsidRDefault="00764B62" w:rsidP="00F175CE">
      <w:pPr>
        <w:spacing w:after="200" w:line="276" w:lineRule="auto"/>
      </w:pPr>
      <w:bookmarkStart w:id="0" w:name="_GoBack"/>
      <w:bookmarkEnd w:id="0"/>
    </w:p>
    <w:sectPr w:rsidR="00764B62" w:rsidSect="00DF25A2">
      <w:footerReference w:type="even" r:id="rId8"/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FA" w:rsidRDefault="003456FA" w:rsidP="009F06A9">
      <w:r>
        <w:separator/>
      </w:r>
    </w:p>
  </w:endnote>
  <w:endnote w:type="continuationSeparator" w:id="0">
    <w:p w:rsidR="003456FA" w:rsidRDefault="003456FA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FA" w:rsidRDefault="003456FA">
    <w:pPr>
      <w:pStyle w:val="llb"/>
      <w:jc w:val="right"/>
    </w:pPr>
  </w:p>
  <w:p w:rsidR="003456FA" w:rsidRDefault="003456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FA" w:rsidRDefault="003456FA">
    <w:pPr>
      <w:pStyle w:val="llb"/>
      <w:jc w:val="right"/>
    </w:pPr>
  </w:p>
  <w:p w:rsidR="003456FA" w:rsidRDefault="003456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FA" w:rsidRDefault="003456FA" w:rsidP="009F06A9">
      <w:r>
        <w:separator/>
      </w:r>
    </w:p>
  </w:footnote>
  <w:footnote w:type="continuationSeparator" w:id="0">
    <w:p w:rsidR="003456FA" w:rsidRDefault="003456FA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7BCD"/>
    <w:rsid w:val="000328ED"/>
    <w:rsid w:val="00076643"/>
    <w:rsid w:val="00091488"/>
    <w:rsid w:val="000A6252"/>
    <w:rsid w:val="000B0721"/>
    <w:rsid w:val="000C568F"/>
    <w:rsid w:val="000F1988"/>
    <w:rsid w:val="00100438"/>
    <w:rsid w:val="00117884"/>
    <w:rsid w:val="00180617"/>
    <w:rsid w:val="001A3CC1"/>
    <w:rsid w:val="001C3032"/>
    <w:rsid w:val="001D1878"/>
    <w:rsid w:val="001E18E4"/>
    <w:rsid w:val="00222C3D"/>
    <w:rsid w:val="00227653"/>
    <w:rsid w:val="00247199"/>
    <w:rsid w:val="002512D2"/>
    <w:rsid w:val="00254020"/>
    <w:rsid w:val="002916E7"/>
    <w:rsid w:val="002B68BC"/>
    <w:rsid w:val="002C0B89"/>
    <w:rsid w:val="002E2BFD"/>
    <w:rsid w:val="002F459A"/>
    <w:rsid w:val="00304458"/>
    <w:rsid w:val="003144BB"/>
    <w:rsid w:val="00316CE1"/>
    <w:rsid w:val="00326BE4"/>
    <w:rsid w:val="00340D7D"/>
    <w:rsid w:val="003456FA"/>
    <w:rsid w:val="003555F1"/>
    <w:rsid w:val="003642B3"/>
    <w:rsid w:val="003715D4"/>
    <w:rsid w:val="003738D2"/>
    <w:rsid w:val="00383676"/>
    <w:rsid w:val="00391F1E"/>
    <w:rsid w:val="003A790B"/>
    <w:rsid w:val="003E7BEB"/>
    <w:rsid w:val="004029C7"/>
    <w:rsid w:val="004060FE"/>
    <w:rsid w:val="00406814"/>
    <w:rsid w:val="004153F1"/>
    <w:rsid w:val="004178C9"/>
    <w:rsid w:val="00417AA2"/>
    <w:rsid w:val="00463B57"/>
    <w:rsid w:val="00476A66"/>
    <w:rsid w:val="004971F2"/>
    <w:rsid w:val="004C2F23"/>
    <w:rsid w:val="004C7765"/>
    <w:rsid w:val="004E13BD"/>
    <w:rsid w:val="00511152"/>
    <w:rsid w:val="00526B7F"/>
    <w:rsid w:val="005374C2"/>
    <w:rsid w:val="00570EAA"/>
    <w:rsid w:val="00584F02"/>
    <w:rsid w:val="00590444"/>
    <w:rsid w:val="00591E49"/>
    <w:rsid w:val="005D29AA"/>
    <w:rsid w:val="005D2AA6"/>
    <w:rsid w:val="005D5BC5"/>
    <w:rsid w:val="005F7358"/>
    <w:rsid w:val="00600384"/>
    <w:rsid w:val="00630261"/>
    <w:rsid w:val="0065449A"/>
    <w:rsid w:val="00686FF1"/>
    <w:rsid w:val="006E4C1F"/>
    <w:rsid w:val="006E6D84"/>
    <w:rsid w:val="006F2128"/>
    <w:rsid w:val="006F3D05"/>
    <w:rsid w:val="006F4888"/>
    <w:rsid w:val="006F7068"/>
    <w:rsid w:val="007304FE"/>
    <w:rsid w:val="00741879"/>
    <w:rsid w:val="00742E7B"/>
    <w:rsid w:val="00753BF5"/>
    <w:rsid w:val="007578D6"/>
    <w:rsid w:val="00764B62"/>
    <w:rsid w:val="00777B93"/>
    <w:rsid w:val="007936CA"/>
    <w:rsid w:val="007A0BF3"/>
    <w:rsid w:val="007A53B6"/>
    <w:rsid w:val="007C7A1D"/>
    <w:rsid w:val="007D061D"/>
    <w:rsid w:val="007E2431"/>
    <w:rsid w:val="008034C9"/>
    <w:rsid w:val="008171A9"/>
    <w:rsid w:val="00825536"/>
    <w:rsid w:val="00851825"/>
    <w:rsid w:val="00861F5E"/>
    <w:rsid w:val="008657ED"/>
    <w:rsid w:val="0086735A"/>
    <w:rsid w:val="008716E2"/>
    <w:rsid w:val="00876B93"/>
    <w:rsid w:val="00890998"/>
    <w:rsid w:val="00892196"/>
    <w:rsid w:val="008C37EA"/>
    <w:rsid w:val="008D7FE8"/>
    <w:rsid w:val="008E5FF2"/>
    <w:rsid w:val="00900CA6"/>
    <w:rsid w:val="00923D65"/>
    <w:rsid w:val="009303E6"/>
    <w:rsid w:val="00932401"/>
    <w:rsid w:val="00944B41"/>
    <w:rsid w:val="00945128"/>
    <w:rsid w:val="00956D12"/>
    <w:rsid w:val="00981456"/>
    <w:rsid w:val="009C3FD4"/>
    <w:rsid w:val="009F06A9"/>
    <w:rsid w:val="009F0DB3"/>
    <w:rsid w:val="00A01573"/>
    <w:rsid w:val="00A147D3"/>
    <w:rsid w:val="00A34D15"/>
    <w:rsid w:val="00A513D4"/>
    <w:rsid w:val="00A767EC"/>
    <w:rsid w:val="00A850CF"/>
    <w:rsid w:val="00AA068A"/>
    <w:rsid w:val="00AA35C5"/>
    <w:rsid w:val="00AB14FF"/>
    <w:rsid w:val="00AC4323"/>
    <w:rsid w:val="00AC5C55"/>
    <w:rsid w:val="00AE73D2"/>
    <w:rsid w:val="00AF7CB6"/>
    <w:rsid w:val="00B33C94"/>
    <w:rsid w:val="00B34F20"/>
    <w:rsid w:val="00B47D13"/>
    <w:rsid w:val="00B524A2"/>
    <w:rsid w:val="00B66BEC"/>
    <w:rsid w:val="00B95A3A"/>
    <w:rsid w:val="00BB5BB2"/>
    <w:rsid w:val="00BB6E1B"/>
    <w:rsid w:val="00BD1EE7"/>
    <w:rsid w:val="00C2436D"/>
    <w:rsid w:val="00C43B8B"/>
    <w:rsid w:val="00C461A5"/>
    <w:rsid w:val="00C50443"/>
    <w:rsid w:val="00C741F8"/>
    <w:rsid w:val="00C7653A"/>
    <w:rsid w:val="00C929F5"/>
    <w:rsid w:val="00CB47EF"/>
    <w:rsid w:val="00CC1EA2"/>
    <w:rsid w:val="00CC420F"/>
    <w:rsid w:val="00CE50E4"/>
    <w:rsid w:val="00CF3CD9"/>
    <w:rsid w:val="00D21F1F"/>
    <w:rsid w:val="00D22B8F"/>
    <w:rsid w:val="00D31043"/>
    <w:rsid w:val="00D3289C"/>
    <w:rsid w:val="00D36641"/>
    <w:rsid w:val="00D64FCB"/>
    <w:rsid w:val="00D773A8"/>
    <w:rsid w:val="00D778C0"/>
    <w:rsid w:val="00D857F9"/>
    <w:rsid w:val="00DA15E7"/>
    <w:rsid w:val="00DC740C"/>
    <w:rsid w:val="00DD19B6"/>
    <w:rsid w:val="00DD303E"/>
    <w:rsid w:val="00DF25A2"/>
    <w:rsid w:val="00DF7E9D"/>
    <w:rsid w:val="00E048A2"/>
    <w:rsid w:val="00E24D3E"/>
    <w:rsid w:val="00E5545A"/>
    <w:rsid w:val="00E812EB"/>
    <w:rsid w:val="00E837AE"/>
    <w:rsid w:val="00EA29BE"/>
    <w:rsid w:val="00EA4727"/>
    <w:rsid w:val="00EB41F0"/>
    <w:rsid w:val="00EB7F3C"/>
    <w:rsid w:val="00EC107E"/>
    <w:rsid w:val="00ED4064"/>
    <w:rsid w:val="00F175CE"/>
    <w:rsid w:val="00F17761"/>
    <w:rsid w:val="00F453BA"/>
    <w:rsid w:val="00F46321"/>
    <w:rsid w:val="00F52234"/>
    <w:rsid w:val="00F61927"/>
    <w:rsid w:val="00F71FF8"/>
    <w:rsid w:val="00F76424"/>
    <w:rsid w:val="00F93AAC"/>
    <w:rsid w:val="00FA67E9"/>
    <w:rsid w:val="00FB2611"/>
    <w:rsid w:val="00FC26F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B5CF-B9DE-48BA-9D42-A72FE266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user</cp:lastModifiedBy>
  <cp:revision>3</cp:revision>
  <cp:lastPrinted>2018-01-12T08:41:00Z</cp:lastPrinted>
  <dcterms:created xsi:type="dcterms:W3CDTF">2018-05-02T04:53:00Z</dcterms:created>
  <dcterms:modified xsi:type="dcterms:W3CDTF">2018-05-02T04:55:00Z</dcterms:modified>
</cp:coreProperties>
</file>