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6104C4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8F416C">
              <w:rPr>
                <w:b/>
              </w:rPr>
              <w:t>Az egészségturizmusban rejlő lehetőségek (1)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6104C4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6104C4" w:rsidP="009E2076">
            <w:pPr>
              <w:suppressAutoHyphens/>
              <w:spacing w:before="60" w:line="264" w:lineRule="auto"/>
              <w:jc w:val="both"/>
            </w:pPr>
            <w:r>
              <w:t>Választható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838B8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104C4" w:rsidRDefault="006104C4" w:rsidP="006104C4">
            <w:pPr>
              <w:spacing w:line="264" w:lineRule="auto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középpontjában az egészségturizmus, illetve annak legfontosabb területei, a </w:t>
            </w:r>
            <w:proofErr w:type="spellStart"/>
            <w:r>
              <w:t>gyógyturizmus</w:t>
            </w:r>
            <w:proofErr w:type="spellEnd"/>
            <w:r>
              <w:t xml:space="preserve"> – terápiás és orvosi ellátáson alapuló egészségturizmus–, valamint a wellness turizmus – prevenciós és rekreációs turizmus – szerepelnek. Az egészségügy és turizmus szektorainak együttműködésével kialakult egészségturizmus számos elmélettel és gyakorlatba ültetett megoldással rendelkezik.  Az egészségturizmus </w:t>
            </w:r>
            <w:proofErr w:type="gramStart"/>
            <w:r>
              <w:t>globális</w:t>
            </w:r>
            <w:proofErr w:type="gramEnd"/>
            <w:r>
              <w:t xml:space="preserve"> jellege miatt mind a nemzetközi, mind a hazai trendek ismerete szükséges. Ahhoz, hogy meg lehessen érteni, milyen jellegzetességekkel bír az egészségturizmus, mely motivációs erők működtetik, és milyen feltételrendszernek kell teljesülnie ahhoz, hogy </w:t>
            </w:r>
            <w:proofErr w:type="gramStart"/>
            <w:r>
              <w:t>konkrét</w:t>
            </w:r>
            <w:proofErr w:type="gramEnd"/>
            <w:r>
              <w:t xml:space="preserve"> betegforgalmat konkretizáljon, tudnunk kell, milyen környezetben, milyen társadalmi, gazdasági, jogszabályi és kulturális közegben értelmezhetjük jelenlétét. </w:t>
            </w:r>
          </w:p>
          <w:p w:rsidR="00F838B8" w:rsidRPr="008F416C" w:rsidRDefault="006104C4" w:rsidP="006104C4">
            <w:pPr>
              <w:spacing w:line="264" w:lineRule="auto"/>
              <w:jc w:val="both"/>
            </w:pPr>
            <w:r>
              <w:t xml:space="preserve">Az egészségturizmus kialakulásának története és az egészségturizmus </w:t>
            </w:r>
            <w:proofErr w:type="gramStart"/>
            <w:r>
              <w:t>komplex</w:t>
            </w:r>
            <w:proofErr w:type="gramEnd"/>
            <w:r>
              <w:t xml:space="preserve"> helyzetének bemutatása. Főbb nemzetközi </w:t>
            </w:r>
            <w:proofErr w:type="gramStart"/>
            <w:r>
              <w:t>trendek</w:t>
            </w:r>
            <w:proofErr w:type="gramEnd"/>
            <w:r>
              <w:t xml:space="preserve"> és magyarországi lehetőségek, fejlesztési irányok.  Egészségturisztikai szolgáltatások megszervezése, bevezetés, tervezés és implementáció, szolgáltatási lánc kialakítása.  </w:t>
            </w:r>
            <w:proofErr w:type="spellStart"/>
            <w:r>
              <w:t>Egészségturisztiai</w:t>
            </w:r>
            <w:proofErr w:type="spellEnd"/>
            <w:r>
              <w:t xml:space="preserve"> portfólióelemzés.  Esettanulmányok, jó gyakorlatok.</w:t>
            </w:r>
            <w:bookmarkStart w:id="0" w:name="_GoBack"/>
            <w:bookmarkEnd w:id="0"/>
          </w:p>
        </w:tc>
      </w:tr>
      <w:tr w:rsidR="00F838B8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Pr="00BC6271" w:rsidRDefault="00F838B8" w:rsidP="00F838B8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838B8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Pr="0000089E" w:rsidRDefault="00F838B8" w:rsidP="00F838B8">
            <w:pPr>
              <w:pStyle w:val="Kurzus-alap"/>
            </w:pPr>
          </w:p>
          <w:p w:rsidR="00F838B8" w:rsidRPr="002426F3" w:rsidRDefault="00F838B8" w:rsidP="00F838B8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1102C7"/>
    <w:rsid w:val="0012391D"/>
    <w:rsid w:val="001E47F0"/>
    <w:rsid w:val="002A0503"/>
    <w:rsid w:val="00432511"/>
    <w:rsid w:val="005021E8"/>
    <w:rsid w:val="006104C4"/>
    <w:rsid w:val="00660565"/>
    <w:rsid w:val="007262DA"/>
    <w:rsid w:val="00735156"/>
    <w:rsid w:val="007648CA"/>
    <w:rsid w:val="0076559D"/>
    <w:rsid w:val="0079289C"/>
    <w:rsid w:val="007B20FB"/>
    <w:rsid w:val="007C5B46"/>
    <w:rsid w:val="007D4B9A"/>
    <w:rsid w:val="008027BF"/>
    <w:rsid w:val="008522C7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E3602E"/>
    <w:rsid w:val="00EB2B46"/>
    <w:rsid w:val="00EC6C23"/>
    <w:rsid w:val="00F050C6"/>
    <w:rsid w:val="00F838B8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D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2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2</cp:revision>
  <dcterms:created xsi:type="dcterms:W3CDTF">2019-05-23T10:42:00Z</dcterms:created>
  <dcterms:modified xsi:type="dcterms:W3CDTF">2019-05-23T10:42:00Z</dcterms:modified>
</cp:coreProperties>
</file>