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1B" w:rsidRPr="00185967" w:rsidRDefault="00185967" w:rsidP="00190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967">
        <w:rPr>
          <w:rFonts w:ascii="Times New Roman" w:hAnsi="Times New Roman" w:cs="Times New Roman"/>
          <w:sz w:val="28"/>
          <w:szCs w:val="28"/>
        </w:rPr>
        <w:t xml:space="preserve">Oktatási folyamatok 2015. évi értékelése </w:t>
      </w:r>
      <w:proofErr w:type="gramStart"/>
      <w:r w:rsidRPr="00185967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185967" w:rsidRPr="00185967" w:rsidRDefault="00185967" w:rsidP="00190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967">
        <w:rPr>
          <w:rFonts w:ascii="Times New Roman" w:hAnsi="Times New Roman" w:cs="Times New Roman"/>
          <w:sz w:val="28"/>
          <w:szCs w:val="28"/>
        </w:rPr>
        <w:t>Semmelweis Egyetem Általános Orvostudományi Karán</w:t>
      </w:r>
    </w:p>
    <w:p w:rsidR="00185967" w:rsidRDefault="00185967" w:rsidP="00190A6B">
      <w:pPr>
        <w:jc w:val="both"/>
      </w:pPr>
    </w:p>
    <w:p w:rsidR="002861B8" w:rsidRDefault="00185967" w:rsidP="00190A6B">
      <w:pPr>
        <w:pStyle w:val="Default"/>
        <w:jc w:val="both"/>
      </w:pPr>
      <w:r>
        <w:t xml:space="preserve">Jelen jelentés csak a tavalyi </w:t>
      </w:r>
      <w:r w:rsidR="002861B8">
        <w:t>jelentéstől (</w:t>
      </w:r>
      <w:hyperlink r:id="rId7" w:history="1">
        <w:r w:rsidRPr="001F13B1">
          <w:rPr>
            <w:rStyle w:val="Hiperhivatkozs"/>
          </w:rPr>
          <w:t>http://semmelweis.hu/minoseg/files/2014/05/05B-AOK.pdf&amp;intranet_only</w:t>
        </w:r>
      </w:hyperlink>
      <w:r w:rsidR="002861B8">
        <w:t>) eltérő változásokat tartalmazza és csak az oktatási folyamatokkal összefüggő helyzetképet tárgyalja, elsősorban a MAB 2014/10/XII/1. sz. határozatában megfogalmazott észrevételek</w:t>
      </w:r>
      <w:r w:rsidR="00BB09EA">
        <w:t xml:space="preserve"> véve alapul</w:t>
      </w:r>
      <w:r w:rsidR="002861B8">
        <w:t>.</w:t>
      </w:r>
    </w:p>
    <w:p w:rsidR="00BE7AF2" w:rsidRDefault="00BE7AF2" w:rsidP="00190A6B">
      <w:pPr>
        <w:pStyle w:val="Default"/>
        <w:jc w:val="both"/>
      </w:pPr>
    </w:p>
    <w:p w:rsidR="00BE7AF2" w:rsidRDefault="00BE7AF2" w:rsidP="00190A6B">
      <w:pPr>
        <w:pStyle w:val="cm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Általános Orvostudományi Kar profiljának értékelése</w:t>
      </w:r>
      <w:r w:rsidRPr="00DE7360">
        <w:rPr>
          <w:rFonts w:ascii="Times New Roman" w:hAnsi="Times New Roman"/>
          <w:sz w:val="24"/>
          <w:szCs w:val="24"/>
        </w:rPr>
        <w:t xml:space="preserve"> </w:t>
      </w:r>
    </w:p>
    <w:p w:rsidR="00052901" w:rsidRDefault="00BE7AF2" w:rsidP="00190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60">
        <w:rPr>
          <w:rFonts w:ascii="Times New Roman" w:hAnsi="Times New Roman" w:cs="Times New Roman"/>
          <w:sz w:val="24"/>
          <w:szCs w:val="24"/>
        </w:rPr>
        <w:t xml:space="preserve">A Semmelweis Egyetem Általános Orvostudományi Kara Magyarország legnagyobb </w:t>
      </w:r>
      <w:proofErr w:type="spellStart"/>
      <w:r w:rsidRPr="00DE7360">
        <w:rPr>
          <w:rFonts w:ascii="Times New Roman" w:hAnsi="Times New Roman" w:cs="Times New Roman"/>
          <w:sz w:val="24"/>
          <w:szCs w:val="24"/>
        </w:rPr>
        <w:t>orvosképző</w:t>
      </w:r>
      <w:proofErr w:type="spellEnd"/>
      <w:r w:rsidRPr="00DE7360">
        <w:rPr>
          <w:rFonts w:ascii="Times New Roman" w:hAnsi="Times New Roman" w:cs="Times New Roman"/>
          <w:sz w:val="24"/>
          <w:szCs w:val="24"/>
        </w:rPr>
        <w:t xml:space="preserve"> fakultása. A szakirányú továbbképzés keretében 89 alap, illetve ráépített szakorvosi képzettséget adó, szakorvosi vizsgához kötött </w:t>
      </w:r>
      <w:proofErr w:type="spellStart"/>
      <w:r w:rsidRPr="00DE7360">
        <w:rPr>
          <w:rFonts w:ascii="Times New Roman" w:hAnsi="Times New Roman" w:cs="Times New Roman"/>
          <w:sz w:val="24"/>
          <w:szCs w:val="24"/>
        </w:rPr>
        <w:t>orvosszakmai</w:t>
      </w:r>
      <w:proofErr w:type="spellEnd"/>
      <w:r w:rsidRPr="00DE7360">
        <w:rPr>
          <w:rFonts w:ascii="Times New Roman" w:hAnsi="Times New Roman" w:cs="Times New Roman"/>
          <w:sz w:val="24"/>
          <w:szCs w:val="24"/>
        </w:rPr>
        <w:t xml:space="preserve"> képzés legnagyobb hazai oktatóhelye. </w:t>
      </w:r>
      <w:r w:rsidR="00052901" w:rsidRPr="00052901">
        <w:rPr>
          <w:rFonts w:ascii="Times New Roman" w:hAnsi="Times New Roman" w:cs="Times New Roman"/>
          <w:sz w:val="24"/>
          <w:szCs w:val="24"/>
        </w:rPr>
        <w:t xml:space="preserve">Az elmúlt évek során az általános orvos szakra történő sokszoros túljelentkezés eredményeképpen a hazai </w:t>
      </w:r>
      <w:proofErr w:type="spellStart"/>
      <w:r w:rsidR="00052901" w:rsidRPr="00052901">
        <w:rPr>
          <w:rFonts w:ascii="Times New Roman" w:hAnsi="Times New Roman" w:cs="Times New Roman"/>
          <w:sz w:val="24"/>
          <w:szCs w:val="24"/>
        </w:rPr>
        <w:t>orvosképző</w:t>
      </w:r>
      <w:proofErr w:type="spellEnd"/>
      <w:r w:rsidR="00052901" w:rsidRPr="00052901">
        <w:rPr>
          <w:rFonts w:ascii="Times New Roman" w:hAnsi="Times New Roman" w:cs="Times New Roman"/>
          <w:sz w:val="24"/>
          <w:szCs w:val="24"/>
        </w:rPr>
        <w:t xml:space="preserve"> helyek közül a legmagasabb felvételi pontszámmal, az egész országban erre a szakra jelentkezők mintegy 40%-ának képzését kezdte meg a Semmelweis Egyetem </w:t>
      </w:r>
      <w:proofErr w:type="spellStart"/>
      <w:r w:rsidR="00052901" w:rsidRPr="00052901">
        <w:rPr>
          <w:rFonts w:ascii="Times New Roman" w:hAnsi="Times New Roman" w:cs="Times New Roman"/>
          <w:sz w:val="24"/>
          <w:szCs w:val="24"/>
        </w:rPr>
        <w:t>ÁOK</w:t>
      </w:r>
      <w:r w:rsidR="00C00E09">
        <w:rPr>
          <w:rFonts w:ascii="Times New Roman" w:hAnsi="Times New Roman" w:cs="Times New Roman"/>
          <w:sz w:val="24"/>
          <w:szCs w:val="24"/>
        </w:rPr>
        <w:t>-n</w:t>
      </w:r>
      <w:proofErr w:type="spellEnd"/>
      <w:r w:rsidR="00C00E09">
        <w:rPr>
          <w:rFonts w:ascii="Times New Roman" w:hAnsi="Times New Roman" w:cs="Times New Roman"/>
          <w:sz w:val="24"/>
          <w:szCs w:val="24"/>
        </w:rPr>
        <w:t>.</w:t>
      </w:r>
      <w:r w:rsidR="00052901" w:rsidRPr="00052901">
        <w:rPr>
          <w:rFonts w:ascii="Times New Roman" w:hAnsi="Times New Roman" w:cs="Times New Roman"/>
          <w:sz w:val="24"/>
          <w:szCs w:val="24"/>
        </w:rPr>
        <w:t xml:space="preserve"> (2015-ben általános orvosképzésre 1755-en jelentkeztek a Semmelweis Egyetem Általános Orvostudományi Karára, ebből 1258-an első helyen. Közülük 397 fő nyert felvételt, akikből 1 fő az önköltséges képzésre).</w:t>
      </w:r>
    </w:p>
    <w:p w:rsidR="00510B1C" w:rsidRDefault="00510B1C" w:rsidP="00190A6B">
      <w:pPr>
        <w:spacing w:after="0"/>
        <w:ind w:right="249"/>
        <w:jc w:val="both"/>
        <w:rPr>
          <w:rFonts w:ascii="Times New Roman" w:hAnsi="Times New Roman" w:cs="Times New Roman"/>
          <w:sz w:val="24"/>
          <w:szCs w:val="24"/>
        </w:rPr>
      </w:pPr>
    </w:p>
    <w:p w:rsidR="00510B1C" w:rsidRPr="00983C34" w:rsidRDefault="00510B1C" w:rsidP="00190A6B">
      <w:pPr>
        <w:pStyle w:val="Mellklet1"/>
        <w:jc w:val="both"/>
        <w:rPr>
          <w:rFonts w:hint="eastAsia"/>
          <w:lang w:val="hu-HU"/>
        </w:rPr>
      </w:pPr>
      <w:bookmarkStart w:id="0" w:name="_Toc437804804"/>
      <w:r w:rsidRPr="00983C34">
        <w:rPr>
          <w:lang w:val="hu-HU"/>
        </w:rPr>
        <w:t xml:space="preserve">A </w:t>
      </w:r>
      <w:r w:rsidRPr="00510B1C">
        <w:rPr>
          <w:lang w:val="hu-HU"/>
        </w:rPr>
        <w:t>képzések</w:t>
      </w:r>
      <w:r w:rsidRPr="00983C34">
        <w:rPr>
          <w:lang w:val="hu-HU"/>
        </w:rPr>
        <w:t xml:space="preserve"> iránti hallgatói kereslet</w:t>
      </w:r>
      <w:r>
        <w:rPr>
          <w:lang w:val="hu-HU"/>
        </w:rPr>
        <w:t xml:space="preserve"> a 2015/2016-os tanévben</w:t>
      </w:r>
      <w:bookmarkEnd w:id="0"/>
    </w:p>
    <w:p w:rsidR="00510B1C" w:rsidRPr="00A84DF1" w:rsidRDefault="00C00E09" w:rsidP="00190A6B">
      <w:pPr>
        <w:pStyle w:val="MellkletAl"/>
        <w:rPr>
          <w:rFonts w:ascii="Times New Roman" w:hAnsi="Times New Roman" w:cs="Times New Roman"/>
        </w:rPr>
      </w:pPr>
      <w:r w:rsidRPr="00A84DF1">
        <w:rPr>
          <w:rFonts w:ascii="Times New Roman" w:hAnsi="Times New Roman" w:cs="Times New Roman"/>
        </w:rPr>
        <w:t>A magyar és külföldi hallgatók létszáma, valamint a külföldi hallgatók arány</w:t>
      </w:r>
      <w:r w:rsidR="001E5822" w:rsidRPr="00A84DF1">
        <w:rPr>
          <w:rFonts w:ascii="Times New Roman" w:hAnsi="Times New Roman" w:cs="Times New Roman"/>
        </w:rPr>
        <w:t>a</w:t>
      </w:r>
      <w:r w:rsidRPr="00A84DF1">
        <w:rPr>
          <w:rFonts w:ascii="Times New Roman" w:hAnsi="Times New Roman" w:cs="Times New Roman"/>
        </w:rPr>
        <w:t xml:space="preserve"> a 2015/16-os tanévben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237"/>
        <w:gridCol w:w="2244"/>
        <w:gridCol w:w="1942"/>
      </w:tblGrid>
      <w:tr w:rsidR="00510B1C" w:rsidRPr="000D4890" w:rsidTr="0088187A">
        <w:trPr>
          <w:trHeight w:val="464"/>
        </w:trPr>
        <w:tc>
          <w:tcPr>
            <w:tcW w:w="1544" w:type="dxa"/>
            <w:vAlign w:val="center"/>
          </w:tcPr>
          <w:p w:rsidR="00510B1C" w:rsidRPr="000D4890" w:rsidRDefault="00510B1C" w:rsidP="00190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0">
              <w:rPr>
                <w:rFonts w:ascii="Times New Roman" w:hAnsi="Times New Roman" w:cs="Times New Roman"/>
                <w:b/>
                <w:sz w:val="24"/>
                <w:szCs w:val="24"/>
              </w:rPr>
              <w:t>Kar</w:t>
            </w:r>
          </w:p>
        </w:tc>
        <w:tc>
          <w:tcPr>
            <w:tcW w:w="2237" w:type="dxa"/>
            <w:vAlign w:val="center"/>
          </w:tcPr>
          <w:p w:rsidR="00510B1C" w:rsidRPr="000D4890" w:rsidRDefault="00510B1C" w:rsidP="0088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0">
              <w:rPr>
                <w:rFonts w:ascii="Times New Roman" w:hAnsi="Times New Roman" w:cs="Times New Roman"/>
                <w:b/>
                <w:sz w:val="24"/>
                <w:szCs w:val="24"/>
              </w:rPr>
              <w:t>Hallgatói létszám</w:t>
            </w:r>
          </w:p>
        </w:tc>
        <w:tc>
          <w:tcPr>
            <w:tcW w:w="2244" w:type="dxa"/>
            <w:vAlign w:val="center"/>
          </w:tcPr>
          <w:p w:rsidR="00510B1C" w:rsidRPr="000D4890" w:rsidRDefault="00510B1C" w:rsidP="0088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0">
              <w:rPr>
                <w:rFonts w:ascii="Times New Roman" w:hAnsi="Times New Roman" w:cs="Times New Roman"/>
                <w:b/>
                <w:sz w:val="24"/>
                <w:szCs w:val="24"/>
              </w:rPr>
              <w:t>Külföldiek száma</w:t>
            </w:r>
          </w:p>
        </w:tc>
        <w:tc>
          <w:tcPr>
            <w:tcW w:w="1942" w:type="dxa"/>
            <w:vAlign w:val="center"/>
          </w:tcPr>
          <w:p w:rsidR="00510B1C" w:rsidRPr="000D4890" w:rsidRDefault="00D7640A" w:rsidP="0088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Külföldiek aránya a karon</w:t>
            </w:r>
          </w:p>
        </w:tc>
      </w:tr>
      <w:tr w:rsidR="00510B1C" w:rsidRPr="000D4890" w:rsidTr="0088187A">
        <w:trPr>
          <w:trHeight w:val="202"/>
        </w:trPr>
        <w:tc>
          <w:tcPr>
            <w:tcW w:w="1544" w:type="dxa"/>
            <w:vAlign w:val="center"/>
          </w:tcPr>
          <w:p w:rsidR="00510B1C" w:rsidRPr="000D4890" w:rsidRDefault="00510B1C" w:rsidP="0019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0">
              <w:rPr>
                <w:rFonts w:ascii="Times New Roman" w:hAnsi="Times New Roman" w:cs="Times New Roman"/>
                <w:sz w:val="24"/>
                <w:szCs w:val="24"/>
              </w:rPr>
              <w:t>ÁOK</w:t>
            </w:r>
          </w:p>
        </w:tc>
        <w:tc>
          <w:tcPr>
            <w:tcW w:w="2237" w:type="dxa"/>
            <w:vAlign w:val="center"/>
          </w:tcPr>
          <w:p w:rsidR="00510B1C" w:rsidRPr="000D4890" w:rsidRDefault="00510B1C" w:rsidP="0088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0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2244" w:type="dxa"/>
            <w:vAlign w:val="center"/>
          </w:tcPr>
          <w:p w:rsidR="00510B1C" w:rsidRPr="000D4890" w:rsidRDefault="00510B1C" w:rsidP="0088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0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942" w:type="dxa"/>
            <w:vAlign w:val="center"/>
          </w:tcPr>
          <w:p w:rsidR="00510B1C" w:rsidRPr="000D4890" w:rsidRDefault="00510B1C" w:rsidP="0088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0">
              <w:rPr>
                <w:rFonts w:ascii="Times New Roman" w:hAnsi="Times New Roman" w:cs="Times New Roman"/>
                <w:sz w:val="24"/>
                <w:szCs w:val="24"/>
              </w:rPr>
              <w:t>48,74%</w:t>
            </w:r>
          </w:p>
        </w:tc>
      </w:tr>
    </w:tbl>
    <w:p w:rsidR="00C00E09" w:rsidRDefault="00C00E09" w:rsidP="00190A6B">
      <w:pPr>
        <w:pStyle w:val="MellkletAl"/>
        <w:rPr>
          <w:rFonts w:ascii="Times New Roman" w:eastAsia="Calibri" w:hAnsi="Times New Roman" w:cs="Times New Roman"/>
          <w:iCs w:val="0"/>
          <w:color w:val="auto"/>
          <w:sz w:val="24"/>
          <w:szCs w:val="24"/>
        </w:rPr>
      </w:pPr>
      <w:bookmarkStart w:id="1" w:name="_Toc437804806"/>
    </w:p>
    <w:p w:rsidR="00510B1C" w:rsidRPr="00C00E09" w:rsidRDefault="00C00E09" w:rsidP="00190A6B">
      <w:pPr>
        <w:pStyle w:val="MellkletAl"/>
        <w:rPr>
          <w:rFonts w:ascii="Times New Roman" w:hAnsi="Times New Roman" w:cs="Times New Roman"/>
        </w:rPr>
      </w:pPr>
      <w:r w:rsidRPr="00C00E09">
        <w:rPr>
          <w:rFonts w:ascii="Times New Roman" w:eastAsia="Calibri" w:hAnsi="Times New Roman" w:cs="Times New Roman"/>
          <w:iCs w:val="0"/>
          <w:color w:val="auto"/>
        </w:rPr>
        <w:t xml:space="preserve">A </w:t>
      </w:r>
      <w:r w:rsidR="00510B1C" w:rsidRPr="00C00E09">
        <w:rPr>
          <w:rFonts w:ascii="Times New Roman" w:hAnsi="Times New Roman" w:cs="Times New Roman"/>
        </w:rPr>
        <w:t>2015/2016 tanévre jelentkező valamint felvételt nyert magyar és külföldi hallgatók száma</w:t>
      </w:r>
      <w:bookmarkEnd w:id="1"/>
      <w:r w:rsidR="00510B1C" w:rsidRPr="00C00E09">
        <w:rPr>
          <w:rFonts w:ascii="Times New Roman" w:hAnsi="Times New Roman" w:cs="Times New Roman"/>
        </w:rPr>
        <w:t xml:space="preserve"> </w:t>
      </w:r>
    </w:p>
    <w:tbl>
      <w:tblPr>
        <w:tblW w:w="9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028"/>
        <w:gridCol w:w="1418"/>
        <w:gridCol w:w="1417"/>
        <w:gridCol w:w="2151"/>
        <w:gridCol w:w="1602"/>
      </w:tblGrid>
      <w:tr w:rsidR="00510B1C" w:rsidRPr="00FD7B3E" w:rsidTr="00C00E09">
        <w:trPr>
          <w:trHeight w:val="55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1C" w:rsidRPr="00FD7B3E" w:rsidRDefault="00510B1C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D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  <w:r w:rsidRPr="000D4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Kar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1C" w:rsidRPr="00FD7B3E" w:rsidRDefault="00510B1C" w:rsidP="008818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D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  <w:r w:rsidRPr="00FD7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agyar össz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1C" w:rsidRPr="00FD7B3E" w:rsidRDefault="00510B1C" w:rsidP="008818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D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  <w:r w:rsidRPr="00FD7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ülföldi össz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1C" w:rsidRPr="00FD7B3E" w:rsidRDefault="00510B1C" w:rsidP="008818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D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  <w:r w:rsidRPr="00FD7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ar össz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esen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B1C" w:rsidRPr="00FD7B3E" w:rsidRDefault="00C00E09" w:rsidP="008818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Jelentkezők összesen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1C" w:rsidRPr="00FD7B3E" w:rsidRDefault="00510B1C" w:rsidP="008818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D7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Külföldi jelentkezők</w:t>
            </w:r>
          </w:p>
        </w:tc>
      </w:tr>
      <w:tr w:rsidR="00510B1C" w:rsidRPr="00FD7B3E" w:rsidTr="00C00E09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1C" w:rsidRPr="00FD7B3E" w:rsidRDefault="00510B1C" w:rsidP="00190A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D7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ÁOK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1C" w:rsidRPr="00FD7B3E" w:rsidRDefault="00510B1C" w:rsidP="008818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D7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1C" w:rsidRPr="00FD7B3E" w:rsidRDefault="00510B1C" w:rsidP="008818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D7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1C" w:rsidRPr="00FD7B3E" w:rsidRDefault="00510B1C" w:rsidP="008818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D7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896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1C" w:rsidRPr="00FD7B3E" w:rsidRDefault="001E5822" w:rsidP="008818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1755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1C" w:rsidRPr="008D48D6" w:rsidRDefault="00510B1C" w:rsidP="008818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D48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2018</w:t>
            </w:r>
          </w:p>
        </w:tc>
      </w:tr>
    </w:tbl>
    <w:p w:rsidR="00510B1C" w:rsidRDefault="00510B1C" w:rsidP="00190A6B">
      <w:pPr>
        <w:pStyle w:val="MellkletAl"/>
      </w:pPr>
    </w:p>
    <w:tbl>
      <w:tblPr>
        <w:tblpPr w:leftFromText="141" w:rightFromText="141" w:vertAnchor="text" w:horzAnchor="margin" w:tblpXSpec="center" w:tblpY="280"/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3340"/>
        <w:gridCol w:w="2722"/>
      </w:tblGrid>
      <w:tr w:rsidR="00510B1C" w:rsidRPr="00E5272D" w:rsidTr="00C00E09">
        <w:trPr>
          <w:trHeight w:val="645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1C" w:rsidRPr="00E5272D" w:rsidRDefault="00510B1C" w:rsidP="00190A6B">
            <w:pPr>
              <w:spacing w:after="0"/>
              <w:ind w:left="454" w:hanging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5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1C" w:rsidRPr="00E5272D" w:rsidRDefault="00510B1C" w:rsidP="0088187A">
            <w:pPr>
              <w:spacing w:after="0"/>
              <w:ind w:left="454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5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 hallgatói létszám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1C" w:rsidRPr="00E5272D" w:rsidRDefault="00510B1C" w:rsidP="0088187A">
            <w:pPr>
              <w:spacing w:after="0"/>
              <w:ind w:left="454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5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Ténylegesen átsorolt</w:t>
            </w:r>
          </w:p>
        </w:tc>
      </w:tr>
      <w:tr w:rsidR="00510B1C" w:rsidRPr="00E5272D" w:rsidTr="00C00E09">
        <w:trPr>
          <w:trHeight w:val="33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1C" w:rsidRPr="00E5272D" w:rsidRDefault="00510B1C" w:rsidP="00190A6B">
            <w:pPr>
              <w:spacing w:after="0"/>
              <w:ind w:left="45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ÁOK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1C" w:rsidRPr="00E5272D" w:rsidRDefault="00510B1C" w:rsidP="0088187A">
            <w:pPr>
              <w:spacing w:after="0"/>
              <w:ind w:left="454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2337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1C" w:rsidRPr="00E5272D" w:rsidRDefault="00510B1C" w:rsidP="0088187A">
            <w:pPr>
              <w:spacing w:after="0"/>
              <w:ind w:left="454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35</w:t>
            </w:r>
          </w:p>
        </w:tc>
      </w:tr>
    </w:tbl>
    <w:p w:rsidR="00510B1C" w:rsidRPr="00C00E09" w:rsidRDefault="00C00E09" w:rsidP="00190A6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_Toc437804807"/>
      <w:r w:rsidRPr="00C00E09">
        <w:rPr>
          <w:rFonts w:ascii="Times New Roman" w:hAnsi="Times New Roman" w:cs="Times New Roman"/>
          <w:i/>
          <w:sz w:val="20"/>
          <w:szCs w:val="20"/>
        </w:rPr>
        <w:t>Az állami finanszírozásból költségtérítéses képzési formába átsorolt hallgatók</w:t>
      </w:r>
      <w:bookmarkEnd w:id="2"/>
      <w:r w:rsidRPr="00C00E09">
        <w:rPr>
          <w:rFonts w:ascii="Times New Roman" w:hAnsi="Times New Roman" w:cs="Times New Roman"/>
          <w:i/>
          <w:sz w:val="20"/>
          <w:szCs w:val="20"/>
        </w:rPr>
        <w:t xml:space="preserve"> aránya a karon</w:t>
      </w:r>
    </w:p>
    <w:p w:rsidR="00C00E09" w:rsidRDefault="00C00E09" w:rsidP="00190A6B">
      <w:pPr>
        <w:spacing w:after="0"/>
        <w:ind w:right="24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C3C" w:rsidRDefault="00BE7AF2" w:rsidP="00190A6B">
      <w:pPr>
        <w:spacing w:after="0"/>
        <w:ind w:firstLine="708"/>
        <w:jc w:val="both"/>
        <w:rPr>
          <w:rFonts w:ascii="Georgia" w:hAnsi="Georgia"/>
          <w:color w:val="333333"/>
        </w:rPr>
      </w:pPr>
      <w:r w:rsidRPr="00DE7360">
        <w:rPr>
          <w:rFonts w:ascii="Times New Roman" w:hAnsi="Times New Roman" w:cs="Times New Roman"/>
          <w:bCs/>
          <w:sz w:val="24"/>
          <w:szCs w:val="24"/>
        </w:rPr>
        <w:t>A kar a hazai képzőhelyek értékelése során évek óta a legjobbak között szerepel. A 201</w:t>
      </w:r>
      <w:r w:rsidR="00D22C3C">
        <w:rPr>
          <w:rFonts w:ascii="Times New Roman" w:hAnsi="Times New Roman" w:cs="Times New Roman"/>
          <w:bCs/>
          <w:sz w:val="24"/>
          <w:szCs w:val="24"/>
        </w:rPr>
        <w:t>5</w:t>
      </w:r>
      <w:r w:rsidRPr="00DE7360">
        <w:rPr>
          <w:rFonts w:ascii="Times New Roman" w:hAnsi="Times New Roman" w:cs="Times New Roman"/>
          <w:bCs/>
          <w:sz w:val="24"/>
          <w:szCs w:val="24"/>
        </w:rPr>
        <w:t xml:space="preserve">-es teljesítmények alapján a karok összesített rangsorában a tíz képzésterület és több mint negyven szak rangsorából </w:t>
      </w:r>
      <w:r w:rsidR="00510B1C">
        <w:rPr>
          <w:rFonts w:ascii="Times New Roman" w:hAnsi="Times New Roman" w:cs="Times New Roman"/>
          <w:bCs/>
          <w:sz w:val="24"/>
          <w:szCs w:val="24"/>
        </w:rPr>
        <w:t>egyetemünk 2015-ben is megőrizte első helyét</w:t>
      </w:r>
      <w:r w:rsidRPr="00DE7360">
        <w:rPr>
          <w:rFonts w:ascii="Times New Roman" w:hAnsi="Times New Roman" w:cs="Times New Roman"/>
          <w:bCs/>
          <w:sz w:val="24"/>
          <w:szCs w:val="24"/>
        </w:rPr>
        <w:t xml:space="preserve"> (HVG rangsor - Diploma 201</w:t>
      </w:r>
      <w:r w:rsidR="00510B1C">
        <w:rPr>
          <w:rFonts w:ascii="Times New Roman" w:hAnsi="Times New Roman" w:cs="Times New Roman"/>
          <w:bCs/>
          <w:sz w:val="24"/>
          <w:szCs w:val="24"/>
        </w:rPr>
        <w:t>6</w:t>
      </w:r>
      <w:r w:rsidRPr="00DE7360">
        <w:rPr>
          <w:rFonts w:ascii="Times New Roman" w:hAnsi="Times New Roman" w:cs="Times New Roman"/>
          <w:bCs/>
          <w:sz w:val="24"/>
          <w:szCs w:val="24"/>
        </w:rPr>
        <w:t>.) és a végzett hallgatók köré</w:t>
      </w:r>
      <w:r>
        <w:rPr>
          <w:rFonts w:ascii="Times New Roman" w:hAnsi="Times New Roman" w:cs="Times New Roman"/>
          <w:bCs/>
          <w:sz w:val="24"/>
          <w:szCs w:val="24"/>
        </w:rPr>
        <w:t>ben végzett felmérések szerint is a</w:t>
      </w:r>
      <w:r w:rsidRPr="00DE7360">
        <w:rPr>
          <w:rFonts w:ascii="Times New Roman" w:hAnsi="Times New Roman" w:cs="Times New Roman"/>
          <w:bCs/>
          <w:sz w:val="24"/>
          <w:szCs w:val="24"/>
        </w:rPr>
        <w:t xml:space="preserve">z itt szerzett diploma piaci értéke </w:t>
      </w:r>
      <w:r>
        <w:rPr>
          <w:rFonts w:ascii="Times New Roman" w:hAnsi="Times New Roman" w:cs="Times New Roman"/>
          <w:bCs/>
          <w:sz w:val="24"/>
          <w:szCs w:val="24"/>
        </w:rPr>
        <w:t xml:space="preserve">kimagasló. </w:t>
      </w:r>
      <w:r w:rsidR="00510B1C">
        <w:rPr>
          <w:rFonts w:ascii="Times New Roman" w:hAnsi="Times New Roman" w:cs="Times New Roman"/>
          <w:bCs/>
          <w:sz w:val="24"/>
          <w:szCs w:val="24"/>
        </w:rPr>
        <w:t>Az SE ÁOK világviszonylatban is jól teljesített az elmúlt esztendőben</w:t>
      </w:r>
      <w:r w:rsidR="00510B1C" w:rsidRPr="00510B1C">
        <w:rPr>
          <w:rFonts w:ascii="Times New Roman" w:hAnsi="Times New Roman" w:cs="Times New Roman"/>
          <w:sz w:val="24"/>
          <w:szCs w:val="24"/>
        </w:rPr>
        <w:t xml:space="preserve"> </w:t>
      </w:r>
      <w:r w:rsidR="00510B1C" w:rsidRPr="00BB09EA">
        <w:rPr>
          <w:rFonts w:ascii="Times New Roman" w:hAnsi="Times New Roman" w:cs="Times New Roman"/>
          <w:i/>
          <w:sz w:val="24"/>
          <w:szCs w:val="24"/>
        </w:rPr>
        <w:t xml:space="preserve">a QS World University </w:t>
      </w:r>
      <w:proofErr w:type="spellStart"/>
      <w:r w:rsidR="00510B1C" w:rsidRPr="00BB09EA">
        <w:rPr>
          <w:rFonts w:ascii="Times New Roman" w:hAnsi="Times New Roman" w:cs="Times New Roman"/>
          <w:i/>
          <w:sz w:val="24"/>
          <w:szCs w:val="24"/>
        </w:rPr>
        <w:t>Rankings</w:t>
      </w:r>
      <w:proofErr w:type="spellEnd"/>
      <w:r w:rsidR="00510B1C">
        <w:rPr>
          <w:rFonts w:ascii="Times New Roman" w:hAnsi="Times New Roman" w:cs="Times New Roman"/>
          <w:sz w:val="24"/>
          <w:szCs w:val="24"/>
        </w:rPr>
        <w:t xml:space="preserve"> új listája alapján a 2014. évben elért 253. helyről a 101-150-re lépett előre (</w:t>
      </w:r>
      <w:hyperlink r:id="rId8" w:anchor="subject" w:history="1">
        <w:r w:rsidR="00510B1C" w:rsidRPr="002C528A">
          <w:rPr>
            <w:rStyle w:val="Hiperhivatkozs"/>
            <w:rFonts w:ascii="Times New Roman" w:hAnsi="Times New Roman" w:cs="Times New Roman"/>
            <w:sz w:val="24"/>
            <w:szCs w:val="24"/>
          </w:rPr>
          <w:t>http://www.topuniversities.com/universities/semmelweis-university#subject</w:t>
        </w:r>
      </w:hyperlink>
      <w:r w:rsidR="00510B1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7AF2" w:rsidRDefault="00D22C3C" w:rsidP="00190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7AF2" w:rsidRPr="00DE7360">
        <w:rPr>
          <w:rFonts w:ascii="Times New Roman" w:hAnsi="Times New Roman" w:cs="Times New Roman"/>
          <w:sz w:val="24"/>
          <w:szCs w:val="24"/>
        </w:rPr>
        <w:t xml:space="preserve">Az </w:t>
      </w:r>
      <w:r w:rsidR="00BE7AF2">
        <w:rPr>
          <w:rFonts w:ascii="Times New Roman" w:hAnsi="Times New Roman" w:cs="Times New Roman"/>
          <w:sz w:val="24"/>
          <w:szCs w:val="24"/>
        </w:rPr>
        <w:t xml:space="preserve">Egyetem által kibocsátott </w:t>
      </w:r>
      <w:r w:rsidR="00BE7AF2" w:rsidRPr="00DE7360">
        <w:rPr>
          <w:rFonts w:ascii="Times New Roman" w:hAnsi="Times New Roman" w:cs="Times New Roman"/>
          <w:sz w:val="24"/>
          <w:szCs w:val="24"/>
        </w:rPr>
        <w:t xml:space="preserve">általános orvosi diploma az Európai Unió országaiban egységesen elismert, elsősorban a </w:t>
      </w:r>
      <w:proofErr w:type="spellStart"/>
      <w:r w:rsidR="00BE7AF2" w:rsidRPr="00DE7360">
        <w:rPr>
          <w:rFonts w:ascii="Times New Roman" w:hAnsi="Times New Roman" w:cs="Times New Roman"/>
          <w:sz w:val="24"/>
          <w:szCs w:val="24"/>
        </w:rPr>
        <w:t>kurrikulum</w:t>
      </w:r>
      <w:proofErr w:type="spellEnd"/>
      <w:r w:rsidR="00BE7AF2" w:rsidRPr="00DE7360">
        <w:rPr>
          <w:rFonts w:ascii="Times New Roman" w:hAnsi="Times New Roman" w:cs="Times New Roman"/>
          <w:sz w:val="24"/>
          <w:szCs w:val="24"/>
        </w:rPr>
        <w:t xml:space="preserve"> és a képzés nemzetközileg elismert </w:t>
      </w:r>
      <w:r w:rsidR="00BE7AF2">
        <w:rPr>
          <w:rFonts w:ascii="Times New Roman" w:hAnsi="Times New Roman" w:cs="Times New Roman"/>
          <w:sz w:val="24"/>
          <w:szCs w:val="24"/>
        </w:rPr>
        <w:t xml:space="preserve">igen magas </w:t>
      </w:r>
      <w:r w:rsidR="00BE7AF2" w:rsidRPr="00DE7360">
        <w:rPr>
          <w:rFonts w:ascii="Times New Roman" w:hAnsi="Times New Roman" w:cs="Times New Roman"/>
          <w:sz w:val="24"/>
          <w:szCs w:val="24"/>
        </w:rPr>
        <w:t xml:space="preserve">színvonala miatt. </w:t>
      </w:r>
    </w:p>
    <w:p w:rsidR="00BE7AF2" w:rsidRPr="003D2718" w:rsidRDefault="009E346E" w:rsidP="00190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preklinikai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modul oktatását 8 intézet végzi. </w:t>
      </w:r>
      <w:r w:rsidR="00BE7AF2" w:rsidRPr="003D271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E7AF2" w:rsidRPr="003D2718">
        <w:rPr>
          <w:rFonts w:ascii="Times New Roman" w:hAnsi="Times New Roman" w:cs="Times New Roman"/>
          <w:sz w:val="24"/>
          <w:szCs w:val="24"/>
        </w:rPr>
        <w:t>klinikum</w:t>
      </w:r>
      <w:proofErr w:type="spellEnd"/>
      <w:r w:rsidR="00BE7AF2" w:rsidRPr="003D2718">
        <w:rPr>
          <w:rFonts w:ascii="Times New Roman" w:hAnsi="Times New Roman" w:cs="Times New Roman"/>
          <w:sz w:val="24"/>
          <w:szCs w:val="24"/>
        </w:rPr>
        <w:t xml:space="preserve"> elméleti és gyakorlati oktatási feladatait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="00BE7AF2" w:rsidRPr="003D2718">
        <w:rPr>
          <w:rFonts w:ascii="Times New Roman" w:hAnsi="Times New Roman" w:cs="Times New Roman"/>
          <w:bCs/>
          <w:sz w:val="24"/>
          <w:szCs w:val="24"/>
        </w:rPr>
        <w:t>22 klinika, 11 tanszék, illetve 12 tanszéki csoport</w:t>
      </w:r>
      <w:r w:rsidR="00BE7AF2" w:rsidRPr="003D2718">
        <w:rPr>
          <w:rFonts w:ascii="Times New Roman" w:hAnsi="Times New Roman" w:cs="Times New Roman"/>
          <w:sz w:val="24"/>
          <w:szCs w:val="24"/>
        </w:rPr>
        <w:t xml:space="preserve"> oktatói </w:t>
      </w:r>
      <w:r>
        <w:rPr>
          <w:rFonts w:ascii="Times New Roman" w:hAnsi="Times New Roman" w:cs="Times New Roman"/>
          <w:sz w:val="24"/>
          <w:szCs w:val="24"/>
        </w:rPr>
        <w:t>látják el</w:t>
      </w:r>
      <w:r w:rsidR="00BE7AF2" w:rsidRPr="003D2718">
        <w:rPr>
          <w:rFonts w:ascii="Times New Roman" w:hAnsi="Times New Roman" w:cs="Times New Roman"/>
          <w:sz w:val="24"/>
          <w:szCs w:val="24"/>
        </w:rPr>
        <w:t xml:space="preserve">, ugyancsak az európai és nemzetközi standardok figyelembe vételével. A klinikák, tanszékek, illetve tanszéki csoportok mellett vezető fővárosi kórházak minősített, illetve habilitált oktatói is jelentős segítséget nyújtanak a gyakorlati képzésben. A Semmelweis Egyetem színvonalas oktatói gárdával és infrastruktúrával rendelkező </w:t>
      </w:r>
      <w:r w:rsidR="00BE7AF2" w:rsidRPr="003D2718">
        <w:rPr>
          <w:rFonts w:ascii="Times New Roman" w:hAnsi="Times New Roman" w:cs="Times New Roman"/>
          <w:bCs/>
          <w:sz w:val="24"/>
          <w:szCs w:val="24"/>
        </w:rPr>
        <w:t>15 kórház 46 osztályát a</w:t>
      </w:r>
      <w:r w:rsidR="00BE7AF2">
        <w:rPr>
          <w:rFonts w:ascii="Times New Roman" w:hAnsi="Times New Roman" w:cs="Times New Roman"/>
          <w:bCs/>
          <w:sz w:val="24"/>
          <w:szCs w:val="24"/>
        </w:rPr>
        <w:t>kkreditálta, mint oktatóosztály.</w:t>
      </w:r>
      <w:r w:rsidR="00BE7AF2" w:rsidRPr="003D2718">
        <w:rPr>
          <w:rFonts w:ascii="Times New Roman" w:hAnsi="Times New Roman" w:cs="Times New Roman"/>
          <w:bCs/>
          <w:sz w:val="24"/>
          <w:szCs w:val="24"/>
        </w:rPr>
        <w:t xml:space="preserve"> Két kórház (az </w:t>
      </w:r>
      <w:proofErr w:type="spellStart"/>
      <w:r w:rsidR="00BE7AF2" w:rsidRPr="003D2718">
        <w:rPr>
          <w:rFonts w:ascii="Times New Roman" w:hAnsi="Times New Roman" w:cs="Times New Roman"/>
          <w:bCs/>
          <w:sz w:val="24"/>
          <w:szCs w:val="24"/>
        </w:rPr>
        <w:t>Uzsoki</w:t>
      </w:r>
      <w:proofErr w:type="spellEnd"/>
      <w:r w:rsidR="00BE7AF2" w:rsidRPr="003D2718">
        <w:rPr>
          <w:rFonts w:ascii="Times New Roman" w:hAnsi="Times New Roman" w:cs="Times New Roman"/>
          <w:bCs/>
          <w:sz w:val="24"/>
          <w:szCs w:val="24"/>
        </w:rPr>
        <w:t xml:space="preserve"> Utcai Kórház és az MH </w:t>
      </w:r>
      <w:proofErr w:type="spellStart"/>
      <w:r w:rsidR="00BE7AF2" w:rsidRPr="003D2718">
        <w:rPr>
          <w:rFonts w:ascii="Times New Roman" w:hAnsi="Times New Roman" w:cs="Times New Roman"/>
          <w:bCs/>
          <w:sz w:val="24"/>
          <w:szCs w:val="24"/>
        </w:rPr>
        <w:t>Honvédkórház-Állami</w:t>
      </w:r>
      <w:proofErr w:type="spellEnd"/>
      <w:r w:rsidR="00BE7AF2" w:rsidRPr="003D2718">
        <w:rPr>
          <w:rFonts w:ascii="Times New Roman" w:hAnsi="Times New Roman" w:cs="Times New Roman"/>
          <w:bCs/>
          <w:sz w:val="24"/>
          <w:szCs w:val="24"/>
        </w:rPr>
        <w:t xml:space="preserve"> Egészségügyi Központ), mint oktatókórház kiemelt feladatot lát el a klinikai gyakorlati oktatási kapacitás kiegészítésében.</w:t>
      </w:r>
      <w:r w:rsidR="00BE7AF2" w:rsidRPr="003D2718">
        <w:rPr>
          <w:rFonts w:ascii="Times New Roman" w:hAnsi="Times New Roman" w:cs="Times New Roman"/>
          <w:sz w:val="24"/>
          <w:szCs w:val="24"/>
        </w:rPr>
        <w:t xml:space="preserve"> A klinikák ágyszámának négy évvel ezelőtti csökkentése nem teszi lehetővé az ideális, kiscsoportos kórtermi oktatás folyamatosságát. A gyakorlati orvosképzésben egyre nagyobb jelentőségű a</w:t>
      </w:r>
      <w:r w:rsidR="00BE7AF2">
        <w:rPr>
          <w:rFonts w:ascii="Times New Roman" w:hAnsi="Times New Roman" w:cs="Times New Roman"/>
          <w:sz w:val="24"/>
          <w:szCs w:val="24"/>
        </w:rPr>
        <w:t>z ún.</w:t>
      </w:r>
      <w:r w:rsidR="00BE7AF2" w:rsidRPr="003D2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AF2" w:rsidRPr="003D2718">
        <w:rPr>
          <w:rFonts w:ascii="Times New Roman" w:hAnsi="Times New Roman" w:cs="Times New Roman"/>
          <w:sz w:val="24"/>
          <w:szCs w:val="24"/>
        </w:rPr>
        <w:t>készség</w:t>
      </w:r>
      <w:proofErr w:type="gramEnd"/>
      <w:r w:rsidR="00BE7AF2" w:rsidRPr="003D2718">
        <w:rPr>
          <w:rFonts w:ascii="Times New Roman" w:hAnsi="Times New Roman" w:cs="Times New Roman"/>
          <w:sz w:val="24"/>
          <w:szCs w:val="24"/>
        </w:rPr>
        <w:t xml:space="preserve"> laboratóriumok (</w:t>
      </w:r>
      <w:proofErr w:type="spellStart"/>
      <w:r w:rsidR="00BE7AF2" w:rsidRPr="003D2718">
        <w:rPr>
          <w:rFonts w:ascii="Times New Roman" w:hAnsi="Times New Roman" w:cs="Times New Roman"/>
          <w:i/>
          <w:sz w:val="24"/>
          <w:szCs w:val="24"/>
        </w:rPr>
        <w:t>skill-labs</w:t>
      </w:r>
      <w:proofErr w:type="spellEnd"/>
      <w:r w:rsidR="00BE7AF2" w:rsidRPr="003D2718">
        <w:rPr>
          <w:rFonts w:ascii="Times New Roman" w:hAnsi="Times New Roman" w:cs="Times New Roman"/>
          <w:sz w:val="24"/>
          <w:szCs w:val="24"/>
        </w:rPr>
        <w:t xml:space="preserve">), illetve szimulációs módszerek alkalmazása és fejlesztése. </w:t>
      </w:r>
    </w:p>
    <w:p w:rsidR="00052901" w:rsidRDefault="00BE7AF2" w:rsidP="00190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60">
        <w:rPr>
          <w:rFonts w:ascii="Times New Roman" w:hAnsi="Times New Roman" w:cs="Times New Roman"/>
          <w:sz w:val="24"/>
          <w:szCs w:val="24"/>
        </w:rPr>
        <w:t xml:space="preserve">Az Általános Orvostudományi Kar több mint 60 országból érkező orvostanhallgató oktatását végzi, angol és német nyelven.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7360">
        <w:rPr>
          <w:rFonts w:ascii="Times New Roman" w:hAnsi="Times New Roman" w:cs="Times New Roman"/>
          <w:sz w:val="24"/>
          <w:szCs w:val="24"/>
        </w:rPr>
        <w:t xml:space="preserve"> több száz, idegen nyelvű képzésre felvett hallgató közül az alaptantárgyak letételét követően sokan - elsősorban a német nyelven hallgatók – hazájukban folytatják </w:t>
      </w:r>
      <w:proofErr w:type="spellStart"/>
      <w:r w:rsidRPr="00DE7360">
        <w:rPr>
          <w:rFonts w:ascii="Times New Roman" w:hAnsi="Times New Roman" w:cs="Times New Roman"/>
          <w:sz w:val="24"/>
          <w:szCs w:val="24"/>
        </w:rPr>
        <w:t>preklin</w:t>
      </w:r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klinikai tanulmányaikat</w:t>
      </w:r>
      <w:r w:rsidRPr="00DE7360">
        <w:rPr>
          <w:rFonts w:ascii="Times New Roman" w:hAnsi="Times New Roman" w:cs="Times New Roman"/>
          <w:sz w:val="24"/>
          <w:szCs w:val="24"/>
        </w:rPr>
        <w:t xml:space="preserve"> </w:t>
      </w:r>
      <w:r w:rsidRPr="00DE736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E7360">
        <w:rPr>
          <w:rFonts w:ascii="Times New Roman" w:hAnsi="Times New Roman" w:cs="Times New Roman"/>
          <w:bCs/>
          <w:sz w:val="24"/>
          <w:szCs w:val="24"/>
        </w:rPr>
        <w:t xml:space="preserve"> németországi hallgatók közül évente mintegy 150 fő hazájába tér vissza, közülük 60 fő a hamburgi </w:t>
      </w:r>
      <w:proofErr w:type="spellStart"/>
      <w:r w:rsidRPr="00DE7360">
        <w:rPr>
          <w:rFonts w:ascii="Times New Roman" w:hAnsi="Times New Roman" w:cs="Times New Roman"/>
          <w:bCs/>
          <w:sz w:val="24"/>
          <w:szCs w:val="24"/>
        </w:rPr>
        <w:t>Asklepios</w:t>
      </w:r>
      <w:proofErr w:type="spellEnd"/>
      <w:r w:rsidRPr="00D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7360">
        <w:rPr>
          <w:rFonts w:ascii="Times New Roman" w:hAnsi="Times New Roman" w:cs="Times New Roman"/>
          <w:bCs/>
          <w:sz w:val="24"/>
          <w:szCs w:val="24"/>
        </w:rPr>
        <w:t>Me</w:t>
      </w:r>
      <w:r>
        <w:rPr>
          <w:rFonts w:ascii="Times New Roman" w:hAnsi="Times New Roman" w:cs="Times New Roman"/>
          <w:bCs/>
          <w:sz w:val="24"/>
          <w:szCs w:val="24"/>
        </w:rPr>
        <w:t>dical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hallgatójává válik</w:t>
      </w:r>
      <w:r w:rsidRPr="00DE736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E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AF2" w:rsidRDefault="00052901" w:rsidP="00190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60">
        <w:rPr>
          <w:rFonts w:ascii="Times New Roman" w:hAnsi="Times New Roman" w:cs="Times New Roman"/>
          <w:sz w:val="24"/>
          <w:szCs w:val="24"/>
        </w:rPr>
        <w:t>82 szakorvosi grémium végzi a rezidensek és szakorvosjelöltek képzési tervének összeállítását, ellenőrzését és az elvégzett szakmai gyakorlatok igazolását. A grémiumok számára nagy segítséget jelent a Szakmai Kollégium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DE7360">
        <w:rPr>
          <w:rFonts w:ascii="Times New Roman" w:hAnsi="Times New Roman" w:cs="Times New Roman"/>
          <w:sz w:val="24"/>
          <w:szCs w:val="24"/>
        </w:rPr>
        <w:t xml:space="preserve"> véleményező tevékenysége.</w:t>
      </w:r>
    </w:p>
    <w:p w:rsidR="00BE7AF2" w:rsidRPr="00DE7360" w:rsidRDefault="00BE7AF2" w:rsidP="00190A6B">
      <w:pPr>
        <w:spacing w:after="0"/>
        <w:ind w:right="249"/>
        <w:jc w:val="both"/>
        <w:rPr>
          <w:rFonts w:ascii="Times New Roman" w:hAnsi="Times New Roman" w:cs="Times New Roman"/>
          <w:sz w:val="24"/>
          <w:szCs w:val="24"/>
        </w:rPr>
      </w:pPr>
    </w:p>
    <w:p w:rsidR="00BE7AF2" w:rsidRPr="00052901" w:rsidRDefault="00BE7AF2" w:rsidP="00190A6B">
      <w:pPr>
        <w:pStyle w:val="Default"/>
        <w:jc w:val="both"/>
        <w:rPr>
          <w:b/>
        </w:rPr>
      </w:pPr>
      <w:r w:rsidRPr="00052901">
        <w:rPr>
          <w:b/>
        </w:rPr>
        <w:t>Oktatási eredményesség</w:t>
      </w:r>
    </w:p>
    <w:p w:rsidR="001D323F" w:rsidRPr="001D323F" w:rsidRDefault="00052901" w:rsidP="00BB09EA">
      <w:pPr>
        <w:spacing w:after="110"/>
        <w:ind w:left="-5" w:righ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1D323F">
        <w:rPr>
          <w:rFonts w:ascii="Times New Roman" w:hAnsi="Times New Roman" w:cs="Times New Roman"/>
          <w:sz w:val="24"/>
          <w:szCs w:val="24"/>
        </w:rPr>
        <w:t>A képzés eredményességére leginkább a tanulmányi átlagok alakulásából tudunk következtetni. Az egyes tárgyak számonkérési formáit a mintatanterv határozza meg</w:t>
      </w:r>
      <w:r w:rsidR="007D64BF" w:rsidRPr="001D323F">
        <w:rPr>
          <w:rFonts w:ascii="Times New Roman" w:hAnsi="Times New Roman" w:cs="Times New Roman"/>
          <w:sz w:val="24"/>
          <w:szCs w:val="24"/>
        </w:rPr>
        <w:t>, a</w:t>
      </w:r>
      <w:r w:rsidRPr="001D323F">
        <w:rPr>
          <w:rFonts w:ascii="Times New Roman" w:hAnsi="Times New Roman" w:cs="Times New Roman"/>
          <w:sz w:val="24"/>
          <w:szCs w:val="24"/>
        </w:rPr>
        <w:t xml:space="preserve"> félév végi aláírások megszerzésének feltételeit, a vizsgák követelményeit</w:t>
      </w:r>
      <w:r w:rsidR="007D64BF" w:rsidRPr="001D323F">
        <w:rPr>
          <w:rFonts w:ascii="Times New Roman" w:hAnsi="Times New Roman" w:cs="Times New Roman"/>
          <w:sz w:val="24"/>
          <w:szCs w:val="24"/>
        </w:rPr>
        <w:t xml:space="preserve"> pedig </w:t>
      </w:r>
      <w:r w:rsidRPr="001D323F">
        <w:rPr>
          <w:rFonts w:ascii="Times New Roman" w:hAnsi="Times New Roman" w:cs="Times New Roman"/>
          <w:sz w:val="24"/>
          <w:szCs w:val="24"/>
        </w:rPr>
        <w:t>a kar által tanévenként kiadásra kerül</w:t>
      </w:r>
      <w:r w:rsidRPr="001D323F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1D323F">
        <w:rPr>
          <w:rFonts w:ascii="Times New Roman" w:hAnsi="Times New Roman" w:cs="Times New Roman"/>
          <w:sz w:val="24"/>
          <w:szCs w:val="24"/>
        </w:rPr>
        <w:t xml:space="preserve"> ill</w:t>
      </w:r>
      <w:r w:rsidR="007D64BF" w:rsidRPr="001D323F">
        <w:rPr>
          <w:rFonts w:ascii="Times New Roman" w:hAnsi="Times New Roman" w:cs="Times New Roman"/>
          <w:sz w:val="24"/>
          <w:szCs w:val="24"/>
        </w:rPr>
        <w:t>etve a</w:t>
      </w:r>
      <w:r w:rsidRPr="001D323F">
        <w:rPr>
          <w:rFonts w:ascii="Times New Roman" w:hAnsi="Times New Roman" w:cs="Times New Roman"/>
          <w:sz w:val="24"/>
          <w:szCs w:val="24"/>
        </w:rPr>
        <w:t xml:space="preserve"> kari honlapon </w:t>
      </w:r>
      <w:r w:rsidR="007D64BF" w:rsidRPr="001D323F">
        <w:rPr>
          <w:rFonts w:ascii="Times New Roman" w:hAnsi="Times New Roman" w:cs="Times New Roman"/>
          <w:sz w:val="24"/>
          <w:szCs w:val="24"/>
        </w:rPr>
        <w:t>elérhető</w:t>
      </w:r>
      <w:r w:rsidRPr="001D323F">
        <w:rPr>
          <w:rFonts w:ascii="Times New Roman" w:hAnsi="Times New Roman" w:cs="Times New Roman"/>
          <w:sz w:val="24"/>
          <w:szCs w:val="24"/>
        </w:rPr>
        <w:t>, tantárgyi követelményrendszerek tartalmazzák</w:t>
      </w:r>
      <w:r w:rsidR="007D64BF" w:rsidRPr="001D323F">
        <w:rPr>
          <w:rFonts w:ascii="Times New Roman" w:hAnsi="Times New Roman" w:cs="Times New Roman"/>
          <w:sz w:val="24"/>
          <w:szCs w:val="24"/>
        </w:rPr>
        <w:t>. Ezek m</w:t>
      </w:r>
      <w:r w:rsidRPr="001D323F">
        <w:rPr>
          <w:rFonts w:ascii="Times New Roman" w:hAnsi="Times New Roman" w:cs="Times New Roman"/>
          <w:sz w:val="24"/>
          <w:szCs w:val="24"/>
        </w:rPr>
        <w:t>egváltoztatására tanév közben nincs lehet</w:t>
      </w:r>
      <w:r w:rsidRPr="001D323F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1D323F">
        <w:rPr>
          <w:rFonts w:ascii="Times New Roman" w:hAnsi="Times New Roman" w:cs="Times New Roman"/>
          <w:sz w:val="24"/>
          <w:szCs w:val="24"/>
        </w:rPr>
        <w:t xml:space="preserve">ség. </w:t>
      </w:r>
      <w:r w:rsidR="001D323F" w:rsidRPr="001D323F">
        <w:rPr>
          <w:rFonts w:ascii="Times New Roman" w:hAnsi="Times New Roman" w:cs="Times New Roman"/>
          <w:sz w:val="24"/>
          <w:szCs w:val="24"/>
        </w:rPr>
        <w:t xml:space="preserve">Ez biztosíték mind az oktatók, mind a hallgatók számára, hogy előre ismert, jól meghatározott feltételeknek tudjanak megfelelni. Az oktatási szervezeti egységeknél számos esetben a félévközi számonkérés is részét képezi a tananyag elsajátításának felmérésében. </w:t>
      </w:r>
    </w:p>
    <w:p w:rsidR="00052901" w:rsidRPr="001D323F" w:rsidRDefault="007D64BF" w:rsidP="00BB09EA">
      <w:pPr>
        <w:spacing w:after="110"/>
        <w:ind w:left="-5" w:righ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1D323F">
        <w:rPr>
          <w:rFonts w:ascii="Times New Roman" w:hAnsi="Times New Roman" w:cs="Times New Roman"/>
          <w:sz w:val="24"/>
          <w:szCs w:val="24"/>
        </w:rPr>
        <w:t>Örvendetes, hogy az egyetemi honlap egységesítésével párhuzamosan a tanulmányi tájékoztatók mellett az oktatási anyagok is elérhetők. Több intézet/klinika honlapján az előadások képanyaga mellett azok hang- és egyes esetekben video anyagát is közzé teszi</w:t>
      </w:r>
      <w:r w:rsidR="00BB09EA">
        <w:rPr>
          <w:rFonts w:ascii="Times New Roman" w:hAnsi="Times New Roman" w:cs="Times New Roman"/>
          <w:sz w:val="24"/>
          <w:szCs w:val="24"/>
        </w:rPr>
        <w:t>k</w:t>
      </w:r>
      <w:r w:rsidRPr="001D323F">
        <w:rPr>
          <w:rFonts w:ascii="Times New Roman" w:hAnsi="Times New Roman" w:cs="Times New Roman"/>
          <w:sz w:val="24"/>
          <w:szCs w:val="24"/>
        </w:rPr>
        <w:t xml:space="preserve">. A Kar vezetése lényegesnek tartja a modern </w:t>
      </w:r>
      <w:proofErr w:type="spellStart"/>
      <w:r w:rsidRPr="001D323F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1D323F">
        <w:rPr>
          <w:rFonts w:ascii="Times New Roman" w:hAnsi="Times New Roman" w:cs="Times New Roman"/>
          <w:sz w:val="24"/>
          <w:szCs w:val="24"/>
        </w:rPr>
        <w:t xml:space="preserve"> alapú oktatási anyagok fejlesztését</w:t>
      </w:r>
      <w:r w:rsidR="001D323F" w:rsidRPr="001D323F">
        <w:rPr>
          <w:rFonts w:ascii="Times New Roman" w:hAnsi="Times New Roman" w:cs="Times New Roman"/>
          <w:sz w:val="24"/>
          <w:szCs w:val="24"/>
        </w:rPr>
        <w:t>. Ez</w:t>
      </w:r>
      <w:r w:rsidR="00BB09EA">
        <w:rPr>
          <w:rFonts w:ascii="Times New Roman" w:hAnsi="Times New Roman" w:cs="Times New Roman"/>
          <w:sz w:val="24"/>
          <w:szCs w:val="24"/>
        </w:rPr>
        <w:t>ek kidolgozását, fejlesztését</w:t>
      </w:r>
      <w:r w:rsidR="001D323F" w:rsidRPr="001D323F">
        <w:rPr>
          <w:rFonts w:ascii="Times New Roman" w:hAnsi="Times New Roman" w:cs="Times New Roman"/>
          <w:sz w:val="24"/>
          <w:szCs w:val="24"/>
        </w:rPr>
        <w:t xml:space="preserve"> anyagilag és szakmailag is támogatja.</w:t>
      </w:r>
      <w:r w:rsidRPr="001D3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AF2" w:rsidRDefault="00BE7AF2" w:rsidP="00190A6B">
      <w:pPr>
        <w:pStyle w:val="Default"/>
        <w:jc w:val="both"/>
      </w:pPr>
    </w:p>
    <w:p w:rsidR="00190A6B" w:rsidRDefault="00190A6B" w:rsidP="00190A6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52901" w:rsidRDefault="00052901" w:rsidP="00190A6B">
      <w:pPr>
        <w:spacing w:after="4" w:line="249" w:lineRule="auto"/>
        <w:ind w:left="-5" w:right="5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Az évfolyam átlagok (súlyozott tanulmányi átlag) alakulása: </w:t>
      </w:r>
    </w:p>
    <w:p w:rsidR="00BE7AF2" w:rsidRDefault="00BE7AF2" w:rsidP="00190A6B">
      <w:pPr>
        <w:pStyle w:val="Default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3"/>
        <w:gridCol w:w="1480"/>
        <w:gridCol w:w="962"/>
        <w:gridCol w:w="1106"/>
        <w:gridCol w:w="1119"/>
        <w:gridCol w:w="1126"/>
        <w:gridCol w:w="1119"/>
        <w:gridCol w:w="1127"/>
      </w:tblGrid>
      <w:tr w:rsidR="00BE7AF2" w:rsidTr="00CC5D1D">
        <w:tc>
          <w:tcPr>
            <w:tcW w:w="2503" w:type="dxa"/>
            <w:gridSpan w:val="2"/>
          </w:tcPr>
          <w:p w:rsidR="00BE7AF2" w:rsidRPr="00CC5D1D" w:rsidRDefault="00052901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5D1D">
              <w:rPr>
                <w:rFonts w:ascii="Times New Roman" w:hAnsi="Times New Roman" w:cs="Times New Roman"/>
                <w:b/>
              </w:rPr>
              <w:t>O</w:t>
            </w:r>
            <w:r w:rsidR="00BE7AF2" w:rsidRPr="00CC5D1D">
              <w:rPr>
                <w:rFonts w:ascii="Times New Roman" w:hAnsi="Times New Roman" w:cs="Times New Roman"/>
                <w:b/>
              </w:rPr>
              <w:t>ktatás nyelve</w:t>
            </w:r>
          </w:p>
        </w:tc>
        <w:tc>
          <w:tcPr>
            <w:tcW w:w="2068" w:type="dxa"/>
            <w:gridSpan w:val="2"/>
          </w:tcPr>
          <w:p w:rsidR="00BE7AF2" w:rsidRPr="00CC5D1D" w:rsidRDefault="00052901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5D1D">
              <w:rPr>
                <w:rFonts w:ascii="Times New Roman" w:hAnsi="Times New Roman" w:cs="Times New Roman"/>
                <w:b/>
              </w:rPr>
              <w:t>M</w:t>
            </w:r>
            <w:r w:rsidR="00BE7AF2" w:rsidRPr="00CC5D1D">
              <w:rPr>
                <w:rFonts w:ascii="Times New Roman" w:hAnsi="Times New Roman" w:cs="Times New Roman"/>
                <w:b/>
              </w:rPr>
              <w:t>agyar</w:t>
            </w:r>
          </w:p>
        </w:tc>
        <w:tc>
          <w:tcPr>
            <w:tcW w:w="2245" w:type="dxa"/>
            <w:gridSpan w:val="2"/>
          </w:tcPr>
          <w:p w:rsidR="00BE7AF2" w:rsidRPr="00CC5D1D" w:rsidRDefault="00052901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5D1D">
              <w:rPr>
                <w:rFonts w:ascii="Times New Roman" w:hAnsi="Times New Roman" w:cs="Times New Roman"/>
                <w:b/>
              </w:rPr>
              <w:t>A</w:t>
            </w:r>
            <w:r w:rsidR="00BE7AF2" w:rsidRPr="00CC5D1D">
              <w:rPr>
                <w:rFonts w:ascii="Times New Roman" w:hAnsi="Times New Roman" w:cs="Times New Roman"/>
                <w:b/>
              </w:rPr>
              <w:t>ngol</w:t>
            </w:r>
          </w:p>
        </w:tc>
        <w:tc>
          <w:tcPr>
            <w:tcW w:w="2246" w:type="dxa"/>
            <w:gridSpan w:val="2"/>
          </w:tcPr>
          <w:p w:rsidR="00BE7AF2" w:rsidRPr="00CC5D1D" w:rsidRDefault="00052901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5D1D">
              <w:rPr>
                <w:rFonts w:ascii="Times New Roman" w:hAnsi="Times New Roman" w:cs="Times New Roman"/>
                <w:b/>
              </w:rPr>
              <w:t>N</w:t>
            </w:r>
            <w:r w:rsidR="00BE7AF2" w:rsidRPr="00CC5D1D">
              <w:rPr>
                <w:rFonts w:ascii="Times New Roman" w:hAnsi="Times New Roman" w:cs="Times New Roman"/>
                <w:b/>
              </w:rPr>
              <w:t>émet</w:t>
            </w:r>
          </w:p>
        </w:tc>
      </w:tr>
      <w:tr w:rsidR="00BE7AF2" w:rsidTr="00CC5D1D">
        <w:tc>
          <w:tcPr>
            <w:tcW w:w="1023" w:type="dxa"/>
          </w:tcPr>
          <w:p w:rsidR="00BE7AF2" w:rsidRPr="00CC5D1D" w:rsidRDefault="00052901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5D1D">
              <w:rPr>
                <w:rFonts w:ascii="Times New Roman" w:hAnsi="Times New Roman" w:cs="Times New Roman"/>
                <w:b/>
              </w:rPr>
              <w:t>T</w:t>
            </w:r>
            <w:r w:rsidR="00BE7AF2" w:rsidRPr="00CC5D1D">
              <w:rPr>
                <w:rFonts w:ascii="Times New Roman" w:hAnsi="Times New Roman" w:cs="Times New Roman"/>
                <w:b/>
              </w:rPr>
              <w:t>anév</w:t>
            </w:r>
          </w:p>
        </w:tc>
        <w:tc>
          <w:tcPr>
            <w:tcW w:w="1480" w:type="dxa"/>
          </w:tcPr>
          <w:p w:rsidR="00BE7AF2" w:rsidRPr="00CC5D1D" w:rsidRDefault="00052901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5D1D">
              <w:rPr>
                <w:rFonts w:ascii="Times New Roman" w:hAnsi="Times New Roman" w:cs="Times New Roman"/>
                <w:b/>
              </w:rPr>
              <w:t>É</w:t>
            </w:r>
            <w:r w:rsidR="00BE7AF2" w:rsidRPr="00CC5D1D">
              <w:rPr>
                <w:rFonts w:ascii="Times New Roman" w:hAnsi="Times New Roman" w:cs="Times New Roman"/>
                <w:b/>
              </w:rPr>
              <w:t>vfolyam</w:t>
            </w:r>
          </w:p>
        </w:tc>
        <w:tc>
          <w:tcPr>
            <w:tcW w:w="962" w:type="dxa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C5D1D">
              <w:rPr>
                <w:rFonts w:ascii="Times New Roman" w:hAnsi="Times New Roman" w:cs="Times New Roman"/>
                <w:b/>
              </w:rPr>
              <w:t>I.félév</w:t>
            </w:r>
            <w:proofErr w:type="spellEnd"/>
          </w:p>
        </w:tc>
        <w:tc>
          <w:tcPr>
            <w:tcW w:w="1106" w:type="dxa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5D1D">
              <w:rPr>
                <w:rFonts w:ascii="Times New Roman" w:hAnsi="Times New Roman" w:cs="Times New Roman"/>
                <w:b/>
              </w:rPr>
              <w:t>II. félév</w:t>
            </w:r>
          </w:p>
        </w:tc>
        <w:tc>
          <w:tcPr>
            <w:tcW w:w="1119" w:type="dxa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C5D1D">
              <w:rPr>
                <w:rFonts w:ascii="Times New Roman" w:hAnsi="Times New Roman" w:cs="Times New Roman"/>
                <w:b/>
              </w:rPr>
              <w:t>I.félév</w:t>
            </w:r>
            <w:proofErr w:type="spellEnd"/>
          </w:p>
        </w:tc>
        <w:tc>
          <w:tcPr>
            <w:tcW w:w="1126" w:type="dxa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C5D1D">
              <w:rPr>
                <w:rFonts w:ascii="Times New Roman" w:hAnsi="Times New Roman" w:cs="Times New Roman"/>
                <w:b/>
              </w:rPr>
              <w:t>II.félév</w:t>
            </w:r>
            <w:proofErr w:type="spellEnd"/>
          </w:p>
        </w:tc>
        <w:tc>
          <w:tcPr>
            <w:tcW w:w="1119" w:type="dxa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C5D1D">
              <w:rPr>
                <w:rFonts w:ascii="Times New Roman" w:hAnsi="Times New Roman" w:cs="Times New Roman"/>
                <w:b/>
              </w:rPr>
              <w:t>I.félév</w:t>
            </w:r>
            <w:proofErr w:type="spellEnd"/>
          </w:p>
        </w:tc>
        <w:tc>
          <w:tcPr>
            <w:tcW w:w="1127" w:type="dxa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C5D1D">
              <w:rPr>
                <w:rFonts w:ascii="Times New Roman" w:hAnsi="Times New Roman" w:cs="Times New Roman"/>
                <w:b/>
              </w:rPr>
              <w:t>II.félév</w:t>
            </w:r>
            <w:proofErr w:type="spellEnd"/>
          </w:p>
        </w:tc>
      </w:tr>
      <w:tr w:rsidR="00BE7AF2" w:rsidTr="00CC5D1D">
        <w:trPr>
          <w:trHeight w:val="45"/>
        </w:trPr>
        <w:tc>
          <w:tcPr>
            <w:tcW w:w="1023" w:type="dxa"/>
            <w:vMerge w:val="restart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5D1D">
              <w:rPr>
                <w:rFonts w:ascii="Times New Roman" w:hAnsi="Times New Roman" w:cs="Times New Roman"/>
                <w:b/>
              </w:rPr>
              <w:t>2014/15</w:t>
            </w:r>
            <w:r w:rsidR="00052901" w:rsidRPr="00CC5D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0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D1D">
              <w:rPr>
                <w:rFonts w:ascii="Times New Roman" w:hAnsi="Times New Roman" w:cs="Times New Roman"/>
              </w:rPr>
              <w:t>I.évfolyam</w:t>
            </w:r>
            <w:proofErr w:type="spellEnd"/>
          </w:p>
        </w:tc>
        <w:tc>
          <w:tcPr>
            <w:tcW w:w="962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06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119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126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119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127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3.75</w:t>
            </w:r>
          </w:p>
        </w:tc>
      </w:tr>
      <w:tr w:rsidR="00BE7AF2" w:rsidTr="00CC5D1D">
        <w:trPr>
          <w:trHeight w:val="45"/>
        </w:trPr>
        <w:tc>
          <w:tcPr>
            <w:tcW w:w="1023" w:type="dxa"/>
            <w:vMerge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D1D">
              <w:rPr>
                <w:rFonts w:ascii="Times New Roman" w:hAnsi="Times New Roman" w:cs="Times New Roman"/>
              </w:rPr>
              <w:t>II.évfolyam</w:t>
            </w:r>
            <w:proofErr w:type="spellEnd"/>
          </w:p>
        </w:tc>
        <w:tc>
          <w:tcPr>
            <w:tcW w:w="962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106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119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26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119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127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3.45</w:t>
            </w:r>
          </w:p>
        </w:tc>
      </w:tr>
      <w:tr w:rsidR="00BE7AF2" w:rsidTr="00CC5D1D">
        <w:trPr>
          <w:trHeight w:val="45"/>
        </w:trPr>
        <w:tc>
          <w:tcPr>
            <w:tcW w:w="1023" w:type="dxa"/>
            <w:vMerge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III. évfolyam</w:t>
            </w:r>
          </w:p>
        </w:tc>
        <w:tc>
          <w:tcPr>
            <w:tcW w:w="962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106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119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126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119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127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3.32</w:t>
            </w:r>
          </w:p>
        </w:tc>
      </w:tr>
      <w:tr w:rsidR="00BE7AF2" w:rsidTr="00CC5D1D">
        <w:trPr>
          <w:trHeight w:val="45"/>
        </w:trPr>
        <w:tc>
          <w:tcPr>
            <w:tcW w:w="1023" w:type="dxa"/>
            <w:vMerge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IV. évfolyam</w:t>
            </w:r>
          </w:p>
        </w:tc>
        <w:tc>
          <w:tcPr>
            <w:tcW w:w="962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06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119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126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119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127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4.44</w:t>
            </w:r>
          </w:p>
        </w:tc>
      </w:tr>
      <w:tr w:rsidR="00BE7AF2" w:rsidTr="00CC5D1D">
        <w:trPr>
          <w:trHeight w:val="45"/>
        </w:trPr>
        <w:tc>
          <w:tcPr>
            <w:tcW w:w="1023" w:type="dxa"/>
            <w:vMerge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V. évfolyam</w:t>
            </w:r>
          </w:p>
        </w:tc>
        <w:tc>
          <w:tcPr>
            <w:tcW w:w="962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106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119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126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119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127" w:type="dxa"/>
            <w:vAlign w:val="center"/>
          </w:tcPr>
          <w:p w:rsidR="00BE7AF2" w:rsidRPr="00CC5D1D" w:rsidRDefault="00BE7AF2" w:rsidP="00190A6B">
            <w:pPr>
              <w:jc w:val="both"/>
              <w:rPr>
                <w:rFonts w:ascii="Times New Roman" w:hAnsi="Times New Roman" w:cs="Times New Roman"/>
              </w:rPr>
            </w:pPr>
            <w:r w:rsidRPr="00CC5D1D">
              <w:rPr>
                <w:rFonts w:ascii="Times New Roman" w:hAnsi="Times New Roman" w:cs="Times New Roman"/>
              </w:rPr>
              <w:t>4.60</w:t>
            </w:r>
          </w:p>
        </w:tc>
      </w:tr>
    </w:tbl>
    <w:p w:rsidR="00BE7AF2" w:rsidRDefault="00BE7AF2" w:rsidP="00190A6B">
      <w:pPr>
        <w:jc w:val="both"/>
      </w:pPr>
    </w:p>
    <w:p w:rsidR="001D323F" w:rsidRPr="00BF1977" w:rsidRDefault="001D323F" w:rsidP="00190A6B">
      <w:pPr>
        <w:jc w:val="both"/>
        <w:rPr>
          <w:rFonts w:ascii="Times New Roman" w:hAnsi="Times New Roman" w:cs="Times New Roman"/>
          <w:sz w:val="24"/>
          <w:szCs w:val="24"/>
        </w:rPr>
      </w:pPr>
      <w:r w:rsidRPr="00BF1977">
        <w:rPr>
          <w:rFonts w:ascii="Times New Roman" w:hAnsi="Times New Roman" w:cs="Times New Roman"/>
          <w:sz w:val="24"/>
          <w:szCs w:val="24"/>
        </w:rPr>
        <w:t xml:space="preserve">A vizsgaátlagok nem térnek el az előző évek adataitól. Több évre visszamenőleg megvizsgálva az adatokat szembeötlik, hogy az első két év után növekedés figyelhető meg tanulmányi </w:t>
      </w:r>
      <w:r w:rsidR="001E5822" w:rsidRPr="00BF1977">
        <w:rPr>
          <w:rFonts w:ascii="Times New Roman" w:hAnsi="Times New Roman" w:cs="Times New Roman"/>
          <w:sz w:val="24"/>
          <w:szCs w:val="24"/>
        </w:rPr>
        <w:t xml:space="preserve">átlagokban. Ezt a rosszabb képességű hallgatók lemorzsolódása, a hallgatók elvárásokhoz történő alkalmazkodása, valamint az elméleti és gyakorlati tárgyak között mutatkozó </w:t>
      </w:r>
      <w:r w:rsidR="00BB09EA">
        <w:rPr>
          <w:rFonts w:ascii="Times New Roman" w:hAnsi="Times New Roman" w:cs="Times New Roman"/>
          <w:sz w:val="24"/>
          <w:szCs w:val="24"/>
        </w:rPr>
        <w:t>számonkérésbeli</w:t>
      </w:r>
      <w:r w:rsidR="001E5822" w:rsidRPr="00BF1977">
        <w:rPr>
          <w:rFonts w:ascii="Times New Roman" w:hAnsi="Times New Roman" w:cs="Times New Roman"/>
          <w:sz w:val="24"/>
          <w:szCs w:val="24"/>
        </w:rPr>
        <w:t xml:space="preserve"> különbségek egyaránt okozhatják. </w:t>
      </w:r>
    </w:p>
    <w:p w:rsidR="00BE7AF2" w:rsidRPr="00190A6B" w:rsidRDefault="001E5822" w:rsidP="00190A6B">
      <w:pPr>
        <w:jc w:val="both"/>
        <w:rPr>
          <w:rFonts w:ascii="Times New Roman" w:hAnsi="Times New Roman" w:cs="Times New Roman"/>
          <w:sz w:val="24"/>
          <w:szCs w:val="24"/>
        </w:rPr>
      </w:pPr>
      <w:r w:rsidRPr="00190A6B">
        <w:rPr>
          <w:rFonts w:ascii="Times New Roman" w:hAnsi="Times New Roman" w:cs="Times New Roman"/>
          <w:sz w:val="24"/>
          <w:szCs w:val="24"/>
        </w:rPr>
        <w:t xml:space="preserve">A karon a lemorzsolódás nagyon alacsony. </w:t>
      </w:r>
      <w:r w:rsidR="00BE7AF2" w:rsidRPr="00190A6B">
        <w:rPr>
          <w:rFonts w:ascii="Times New Roman" w:hAnsi="Times New Roman" w:cs="Times New Roman"/>
          <w:sz w:val="24"/>
          <w:szCs w:val="24"/>
        </w:rPr>
        <w:t>2014-ben 42 fő hallgatói jogviszonya szűnt meg</w:t>
      </w:r>
      <w:r w:rsidR="00BF1977" w:rsidRPr="00190A6B">
        <w:rPr>
          <w:rFonts w:ascii="Times New Roman" w:hAnsi="Times New Roman" w:cs="Times New Roman"/>
          <w:sz w:val="24"/>
          <w:szCs w:val="24"/>
        </w:rPr>
        <w:t>. Ez az összes hallgatói létszám (2383 fő) 1,76%-a</w:t>
      </w:r>
      <w:r w:rsidR="00BE7AF2" w:rsidRPr="00190A6B">
        <w:rPr>
          <w:rFonts w:ascii="Times New Roman" w:hAnsi="Times New Roman" w:cs="Times New Roman"/>
          <w:sz w:val="24"/>
          <w:szCs w:val="24"/>
        </w:rPr>
        <w:t>.</w:t>
      </w:r>
      <w:r w:rsidR="00BF1977" w:rsidRPr="00190A6B">
        <w:rPr>
          <w:rFonts w:ascii="Times New Roman" w:hAnsi="Times New Roman" w:cs="Times New Roman"/>
          <w:sz w:val="24"/>
          <w:szCs w:val="24"/>
        </w:rPr>
        <w:t xml:space="preserve"> </w:t>
      </w:r>
      <w:r w:rsidR="00BE7AF2" w:rsidRPr="00190A6B">
        <w:rPr>
          <w:rFonts w:ascii="Times New Roman" w:hAnsi="Times New Roman" w:cs="Times New Roman"/>
          <w:sz w:val="24"/>
          <w:szCs w:val="24"/>
        </w:rPr>
        <w:t>2015-ben 59 fő hallgatói jogviszony</w:t>
      </w:r>
      <w:r w:rsidR="00BF1977" w:rsidRPr="00190A6B">
        <w:rPr>
          <w:rFonts w:ascii="Times New Roman" w:hAnsi="Times New Roman" w:cs="Times New Roman"/>
          <w:sz w:val="24"/>
          <w:szCs w:val="24"/>
        </w:rPr>
        <w:t xml:space="preserve"> megszűnésével ez az arány (</w:t>
      </w:r>
      <w:proofErr w:type="spellStart"/>
      <w:r w:rsidR="00BF1977" w:rsidRPr="00190A6B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="00BF1977" w:rsidRPr="0019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977" w:rsidRPr="00190A6B">
        <w:rPr>
          <w:rFonts w:ascii="Times New Roman" w:hAnsi="Times New Roman" w:cs="Times New Roman"/>
          <w:sz w:val="24"/>
          <w:szCs w:val="24"/>
        </w:rPr>
        <w:t>létzszám</w:t>
      </w:r>
      <w:proofErr w:type="spellEnd"/>
      <w:r w:rsidR="00BF1977" w:rsidRPr="00190A6B">
        <w:rPr>
          <w:rFonts w:ascii="Times New Roman" w:hAnsi="Times New Roman" w:cs="Times New Roman"/>
          <w:sz w:val="24"/>
          <w:szCs w:val="24"/>
        </w:rPr>
        <w:t>:2365 fő) 2,5% volt.</w:t>
      </w:r>
    </w:p>
    <w:p w:rsidR="00185967" w:rsidRDefault="00185967" w:rsidP="00190A6B">
      <w:pPr>
        <w:pStyle w:val="Default"/>
        <w:jc w:val="both"/>
      </w:pPr>
    </w:p>
    <w:p w:rsidR="009E346E" w:rsidRPr="009E346E" w:rsidRDefault="009E346E" w:rsidP="009E346E">
      <w:pPr>
        <w:spacing w:after="0"/>
        <w:ind w:left="-5"/>
        <w:rPr>
          <w:rFonts w:ascii="Times New Roman" w:hAnsi="Times New Roman" w:cs="Times New Roman"/>
          <w:b/>
          <w:i/>
          <w:sz w:val="24"/>
          <w:szCs w:val="24"/>
        </w:rPr>
      </w:pPr>
      <w:r w:rsidRPr="009E34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Záróvizsga végeredmények alakulása, aktív-passzív félévek száma: </w:t>
      </w:r>
    </w:p>
    <w:p w:rsidR="009E346E" w:rsidRPr="009E346E" w:rsidRDefault="009E346E" w:rsidP="009E346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9E346E" w:rsidRPr="009E346E" w:rsidRDefault="009E346E" w:rsidP="009E346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9E346E">
        <w:rPr>
          <w:rFonts w:ascii="Times New Roman" w:hAnsi="Times New Roman" w:cs="Times New Roman"/>
          <w:sz w:val="24"/>
          <w:szCs w:val="24"/>
        </w:rPr>
        <w:t>Az általános orvos szak előírt képzési ideje 12 félév. A tanterven felüli aktív, illetve a passzív féléveket a hallgatók els</w:t>
      </w:r>
      <w:r w:rsidRPr="009E346E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9E346E">
        <w:rPr>
          <w:rFonts w:ascii="Times New Roman" w:hAnsi="Times New Roman" w:cs="Times New Roman"/>
          <w:sz w:val="24"/>
          <w:szCs w:val="24"/>
        </w:rPr>
        <w:t>sorban tanulmány okból veszik igénybe, azonban kis hányaduknál egyéb okok, pl. külföldi résztanulmányok és személyes, családi okok is szerepelnek.</w:t>
      </w:r>
    </w:p>
    <w:p w:rsidR="009E346E" w:rsidRDefault="009E346E" w:rsidP="009E346E">
      <w:pPr>
        <w:spacing w:after="0"/>
        <w:ind w:left="-5"/>
      </w:pPr>
    </w:p>
    <w:p w:rsidR="009E346E" w:rsidRDefault="009E346E" w:rsidP="009E346E">
      <w:pPr>
        <w:spacing w:after="0"/>
        <w:ind w:left="-5"/>
      </w:pPr>
    </w:p>
    <w:tbl>
      <w:tblPr>
        <w:tblStyle w:val="TableGrid"/>
        <w:tblpPr w:leftFromText="141" w:rightFromText="141" w:vertAnchor="text" w:horzAnchor="margin" w:tblpXSpec="center" w:tblpY="39"/>
        <w:tblW w:w="7303" w:type="dxa"/>
        <w:tblInd w:w="0" w:type="dxa"/>
        <w:tblCellMar>
          <w:top w:w="11" w:type="dxa"/>
          <w:left w:w="104" w:type="dxa"/>
          <w:right w:w="89" w:type="dxa"/>
        </w:tblCellMar>
        <w:tblLook w:val="04A0" w:firstRow="1" w:lastRow="0" w:firstColumn="1" w:lastColumn="0" w:noHBand="0" w:noVBand="1"/>
      </w:tblPr>
      <w:tblGrid>
        <w:gridCol w:w="1360"/>
        <w:gridCol w:w="1733"/>
        <w:gridCol w:w="2347"/>
        <w:gridCol w:w="923"/>
        <w:gridCol w:w="940"/>
      </w:tblGrid>
      <w:tr w:rsidR="009E346E" w:rsidRPr="009E346E" w:rsidTr="009E346E">
        <w:trPr>
          <w:trHeight w:val="46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Oktatás nyelve: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E346E" w:rsidRPr="009E346E" w:rsidRDefault="009E346E" w:rsidP="009E34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9E346E">
              <w:rPr>
                <w:rFonts w:ascii="Times New Roman" w:hAnsi="Times New Roman" w:cs="Times New Roman"/>
                <w:b/>
                <w:sz w:val="24"/>
                <w:szCs w:val="24"/>
              </w:rPr>
              <w:t>agyar</w:t>
            </w: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E346E" w:rsidRPr="009E346E" w:rsidRDefault="009E346E" w:rsidP="009E34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RPr="009E346E" w:rsidTr="009E346E">
        <w:trPr>
          <w:trHeight w:val="70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Végzés éve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Végzettek száma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Záróvizsga eredmények átlaga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Aktív félévek száma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Passzív félévek száma </w:t>
            </w:r>
          </w:p>
        </w:tc>
      </w:tr>
      <w:tr w:rsidR="009E346E" w:rsidRPr="009E346E" w:rsidTr="009E346E">
        <w:trPr>
          <w:trHeight w:val="45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 xml:space="preserve">4,38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>4314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9E346E" w:rsidRPr="009E346E" w:rsidRDefault="009E346E" w:rsidP="009E346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9E346E" w:rsidRPr="009E346E" w:rsidRDefault="009E346E" w:rsidP="009E346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9E346E" w:rsidRPr="009E346E" w:rsidRDefault="009E346E" w:rsidP="009E346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9E346E" w:rsidRPr="009E346E" w:rsidRDefault="009E346E" w:rsidP="009E3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46E" w:rsidRPr="009E346E" w:rsidRDefault="009E346E" w:rsidP="009E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46E" w:rsidRPr="009E346E" w:rsidRDefault="009E346E" w:rsidP="009E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46E" w:rsidRPr="009E346E" w:rsidRDefault="009E346E" w:rsidP="009E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46E" w:rsidRPr="009E346E" w:rsidRDefault="009E346E" w:rsidP="009E34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45"/>
        <w:tblW w:w="7303" w:type="dxa"/>
        <w:tblInd w:w="0" w:type="dxa"/>
        <w:tblCellMar>
          <w:top w:w="11" w:type="dxa"/>
          <w:left w:w="104" w:type="dxa"/>
          <w:right w:w="89" w:type="dxa"/>
        </w:tblCellMar>
        <w:tblLook w:val="04A0" w:firstRow="1" w:lastRow="0" w:firstColumn="1" w:lastColumn="0" w:noHBand="0" w:noVBand="1"/>
      </w:tblPr>
      <w:tblGrid>
        <w:gridCol w:w="1360"/>
        <w:gridCol w:w="1733"/>
        <w:gridCol w:w="2347"/>
        <w:gridCol w:w="923"/>
        <w:gridCol w:w="940"/>
      </w:tblGrid>
      <w:tr w:rsidR="009E346E" w:rsidRPr="009E346E" w:rsidTr="009E346E">
        <w:trPr>
          <w:trHeight w:val="46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Oktatás nyelve: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E346E" w:rsidRPr="009E346E" w:rsidRDefault="009E346E" w:rsidP="009E34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E346E" w:rsidRPr="009E346E" w:rsidRDefault="009E346E" w:rsidP="009E34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RPr="009E346E" w:rsidTr="009E346E">
        <w:trPr>
          <w:trHeight w:val="70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Végzés éve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Végzettek száma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Záróvizsga eredmények átlaga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Aktív félévek száma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Passzív félévek száma </w:t>
            </w:r>
          </w:p>
        </w:tc>
      </w:tr>
      <w:tr w:rsidR="009E346E" w:rsidRPr="009E346E" w:rsidTr="009E346E">
        <w:trPr>
          <w:trHeight w:val="45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 xml:space="preserve">3,98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9E346E" w:rsidRDefault="009E346E" w:rsidP="009E346E">
      <w:pPr>
        <w:spacing w:after="0"/>
      </w:pPr>
    </w:p>
    <w:p w:rsidR="009E346E" w:rsidRDefault="009E346E" w:rsidP="009E346E">
      <w:pPr>
        <w:spacing w:after="0"/>
      </w:pPr>
    </w:p>
    <w:p w:rsidR="009E346E" w:rsidRDefault="009E346E" w:rsidP="009E346E">
      <w:pPr>
        <w:spacing w:after="0"/>
      </w:pPr>
    </w:p>
    <w:p w:rsidR="009E346E" w:rsidRDefault="009E346E" w:rsidP="009E346E">
      <w:pPr>
        <w:spacing w:after="0"/>
      </w:pPr>
    </w:p>
    <w:p w:rsidR="009E346E" w:rsidRDefault="009E346E" w:rsidP="009E346E">
      <w:pPr>
        <w:spacing w:after="0"/>
      </w:pPr>
    </w:p>
    <w:p w:rsidR="009E346E" w:rsidRDefault="009E346E" w:rsidP="009E346E">
      <w:pPr>
        <w:spacing w:after="0"/>
      </w:pPr>
    </w:p>
    <w:p w:rsidR="009E346E" w:rsidRDefault="009E346E" w:rsidP="009E346E"/>
    <w:p w:rsidR="009E346E" w:rsidRDefault="009E346E" w:rsidP="009E346E"/>
    <w:tbl>
      <w:tblPr>
        <w:tblStyle w:val="TableGrid"/>
        <w:tblpPr w:leftFromText="141" w:rightFromText="141" w:vertAnchor="text" w:horzAnchor="margin" w:tblpXSpec="center" w:tblpY="-17"/>
        <w:tblW w:w="7303" w:type="dxa"/>
        <w:tblInd w:w="0" w:type="dxa"/>
        <w:tblCellMar>
          <w:top w:w="11" w:type="dxa"/>
          <w:left w:w="104" w:type="dxa"/>
          <w:right w:w="89" w:type="dxa"/>
        </w:tblCellMar>
        <w:tblLook w:val="04A0" w:firstRow="1" w:lastRow="0" w:firstColumn="1" w:lastColumn="0" w:noHBand="0" w:noVBand="1"/>
      </w:tblPr>
      <w:tblGrid>
        <w:gridCol w:w="1360"/>
        <w:gridCol w:w="1733"/>
        <w:gridCol w:w="2347"/>
        <w:gridCol w:w="923"/>
        <w:gridCol w:w="940"/>
      </w:tblGrid>
      <w:tr w:rsidR="009E346E" w:rsidTr="009E346E">
        <w:trPr>
          <w:trHeight w:val="46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Oktatás nyelve: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E346E" w:rsidRPr="009E346E" w:rsidRDefault="009E346E" w:rsidP="009E34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b/>
                <w:sz w:val="24"/>
                <w:szCs w:val="24"/>
              </w:rPr>
              <w:t>Német</w:t>
            </w: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E346E" w:rsidRPr="009E346E" w:rsidRDefault="009E346E" w:rsidP="009E34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Tr="009E346E">
        <w:trPr>
          <w:trHeight w:val="70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Végzés éve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Végzettek száma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Záróvizsga eredmények átlaga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Aktív félévek száma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46E" w:rsidRPr="009E346E" w:rsidRDefault="009E346E" w:rsidP="009E34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Passzív félévek száma </w:t>
            </w:r>
          </w:p>
        </w:tc>
      </w:tr>
      <w:tr w:rsidR="009E346E" w:rsidTr="009E346E">
        <w:trPr>
          <w:trHeight w:val="45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 xml:space="preserve">4,48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6E" w:rsidRPr="009E346E" w:rsidRDefault="009E346E" w:rsidP="009E346E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9E346E" w:rsidRDefault="009E346E" w:rsidP="009E346E"/>
    <w:p w:rsidR="009E346E" w:rsidRDefault="009E346E" w:rsidP="009E346E"/>
    <w:p w:rsidR="009E346E" w:rsidRDefault="009E346E" w:rsidP="009E346E"/>
    <w:p w:rsidR="009E346E" w:rsidRDefault="009E346E" w:rsidP="009E346E"/>
    <w:p w:rsidR="009E346E" w:rsidRDefault="009E346E" w:rsidP="009E346E"/>
    <w:p w:rsidR="009E346E" w:rsidRPr="009E346E" w:rsidRDefault="009E346E" w:rsidP="009E346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9E346E">
        <w:rPr>
          <w:rFonts w:ascii="Times New Roman" w:hAnsi="Times New Roman" w:cs="Times New Roman"/>
          <w:sz w:val="24"/>
          <w:szCs w:val="24"/>
        </w:rPr>
        <w:t xml:space="preserve">Az eddigi évekhez hasonlóan 2015-ben sem növekedett az aktív-passzív félévek száma a végzett hallgatók számához viszonyítva egy adott képzési nyelven belül, azonban, ez az arány az aktív és passzív félévek esetében a magyar hallgatóknál magasabb volt az eddigi évek során. </w:t>
      </w:r>
    </w:p>
    <w:p w:rsidR="009E346E" w:rsidRDefault="009E346E" w:rsidP="009E346E">
      <w:pPr>
        <w:spacing w:after="0"/>
        <w:ind w:left="-5"/>
      </w:pPr>
    </w:p>
    <w:tbl>
      <w:tblPr>
        <w:tblW w:w="8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"/>
        <w:gridCol w:w="1256"/>
        <w:gridCol w:w="10"/>
        <w:gridCol w:w="151"/>
        <w:gridCol w:w="1134"/>
        <w:gridCol w:w="264"/>
        <w:gridCol w:w="10"/>
        <w:gridCol w:w="983"/>
        <w:gridCol w:w="9"/>
        <w:gridCol w:w="10"/>
        <w:gridCol w:w="1398"/>
        <w:gridCol w:w="10"/>
        <w:gridCol w:w="9"/>
        <w:gridCol w:w="1956"/>
        <w:gridCol w:w="1620"/>
        <w:gridCol w:w="62"/>
      </w:tblGrid>
      <w:tr w:rsidR="009E346E" w:rsidRPr="00FA43C0" w:rsidTr="009E346E">
        <w:trPr>
          <w:gridBefore w:val="2"/>
          <w:wBefore w:w="20" w:type="dxa"/>
          <w:trHeight w:val="360"/>
          <w:jc w:val="center"/>
        </w:trPr>
        <w:tc>
          <w:tcPr>
            <w:tcW w:w="888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9E346E" w:rsidRPr="00FA43C0" w:rsidTr="009E346E">
        <w:trPr>
          <w:gridBefore w:val="2"/>
          <w:wBefore w:w="20" w:type="dxa"/>
          <w:trHeight w:val="325"/>
          <w:jc w:val="center"/>
        </w:trPr>
        <w:tc>
          <w:tcPr>
            <w:tcW w:w="141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Végzett hallgatók száma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Aktív félévek száma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Passzív félévek száma</w:t>
            </w:r>
          </w:p>
        </w:tc>
        <w:tc>
          <w:tcPr>
            <w:tcW w:w="19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Passzív/végzett (%)</w:t>
            </w:r>
          </w:p>
        </w:tc>
      </w:tr>
      <w:tr w:rsidR="009E346E" w:rsidRPr="00FA43C0" w:rsidTr="009E346E">
        <w:trPr>
          <w:gridBefore w:val="2"/>
          <w:wBefore w:w="20" w:type="dxa"/>
          <w:trHeight w:val="196"/>
          <w:jc w:val="center"/>
        </w:trPr>
        <w:tc>
          <w:tcPr>
            <w:tcW w:w="141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Végzés éve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Aktív/végzett (%)</w:t>
            </w:r>
          </w:p>
        </w:tc>
        <w:tc>
          <w:tcPr>
            <w:tcW w:w="168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RPr="00FA43C0" w:rsidTr="009E346E">
        <w:trPr>
          <w:gridBefore w:val="2"/>
          <w:wBefore w:w="20" w:type="dxa"/>
          <w:trHeight w:val="195"/>
          <w:jc w:val="center"/>
        </w:trPr>
        <w:tc>
          <w:tcPr>
            <w:tcW w:w="141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RPr="00FA43C0" w:rsidTr="009E346E">
        <w:trPr>
          <w:gridBefore w:val="2"/>
          <w:wBefore w:w="20" w:type="dxa"/>
          <w:trHeight w:val="310"/>
          <w:jc w:val="center"/>
        </w:trPr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1209,96%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29,89%</w:t>
            </w:r>
          </w:p>
        </w:tc>
      </w:tr>
      <w:tr w:rsidR="009E346E" w:rsidRPr="00FA43C0" w:rsidTr="009E346E">
        <w:trPr>
          <w:gridBefore w:val="2"/>
          <w:wBefore w:w="20" w:type="dxa"/>
          <w:trHeight w:val="310"/>
          <w:jc w:val="center"/>
        </w:trPr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1234,20%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31,92%</w:t>
            </w:r>
          </w:p>
        </w:tc>
      </w:tr>
      <w:tr w:rsidR="009E346E" w:rsidRPr="00FA43C0" w:rsidTr="009E346E">
        <w:trPr>
          <w:gridBefore w:val="2"/>
          <w:wBefore w:w="20" w:type="dxa"/>
          <w:trHeight w:val="310"/>
          <w:jc w:val="center"/>
        </w:trPr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1231,30%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26,79%</w:t>
            </w:r>
          </w:p>
        </w:tc>
      </w:tr>
      <w:tr w:rsidR="009E346E" w:rsidRPr="00FA43C0" w:rsidTr="009E346E">
        <w:trPr>
          <w:gridBefore w:val="2"/>
          <w:wBefore w:w="20" w:type="dxa"/>
          <w:trHeight w:val="310"/>
          <w:jc w:val="center"/>
        </w:trPr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1233,33%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31,23%</w:t>
            </w:r>
          </w:p>
        </w:tc>
      </w:tr>
      <w:tr w:rsidR="009E346E" w:rsidRPr="00FA43C0" w:rsidTr="009E346E">
        <w:trPr>
          <w:gridBefore w:val="2"/>
          <w:wBefore w:w="20" w:type="dxa"/>
          <w:trHeight w:val="310"/>
          <w:jc w:val="center"/>
        </w:trPr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1220,88%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36,76%</w:t>
            </w:r>
          </w:p>
        </w:tc>
      </w:tr>
      <w:tr w:rsidR="009E346E" w:rsidRPr="00FA43C0" w:rsidTr="009E346E">
        <w:trPr>
          <w:gridBefore w:val="2"/>
          <w:wBefore w:w="20" w:type="dxa"/>
          <w:trHeight w:val="320"/>
          <w:jc w:val="center"/>
        </w:trPr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4314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1218,64%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A43C0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C0">
              <w:rPr>
                <w:rFonts w:ascii="Times New Roman" w:hAnsi="Times New Roman" w:cs="Times New Roman"/>
                <w:sz w:val="24"/>
                <w:szCs w:val="24"/>
              </w:rPr>
              <w:t>27,68%</w:t>
            </w: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320"/>
          <w:jc w:val="center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360"/>
          <w:jc w:val="center"/>
        </w:trPr>
        <w:tc>
          <w:tcPr>
            <w:tcW w:w="883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218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Végzett hallgatók száma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Aktív félévek száma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Passzív félévek száma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Passzív/végzett (%)</w:t>
            </w: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216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Végzés éve</w:t>
            </w:r>
          </w:p>
        </w:tc>
        <w:tc>
          <w:tcPr>
            <w:tcW w:w="155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Aktív/végzett (%)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216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46E" w:rsidRPr="009E346E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310"/>
          <w:jc w:val="center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1127,05%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9,02%</w:t>
            </w: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310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1156,82%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28,03%</w:t>
            </w: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310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1130,34%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13,10%</w:t>
            </w: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310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1126,22%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12,80%</w:t>
            </w: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310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1162,14%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17,86%</w:t>
            </w:r>
          </w:p>
        </w:tc>
      </w:tr>
      <w:tr w:rsidR="009E346E" w:rsidRPr="0092374C" w:rsidTr="009E346E">
        <w:trPr>
          <w:gridBefore w:val="1"/>
          <w:gridAfter w:val="1"/>
          <w:wBefore w:w="10" w:type="dxa"/>
          <w:wAfter w:w="62" w:type="dxa"/>
          <w:trHeight w:val="320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1229,32%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92374C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</w:tr>
      <w:tr w:rsidR="009E346E" w:rsidRPr="00FC695B" w:rsidTr="009E346E">
        <w:trPr>
          <w:gridAfter w:val="1"/>
          <w:wAfter w:w="62" w:type="dxa"/>
          <w:trHeight w:val="320"/>
          <w:jc w:val="center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346E" w:rsidRPr="00FC695B" w:rsidTr="009E346E">
        <w:trPr>
          <w:gridAfter w:val="1"/>
          <w:wAfter w:w="62" w:type="dxa"/>
          <w:trHeight w:val="360"/>
          <w:jc w:val="center"/>
        </w:trPr>
        <w:tc>
          <w:tcPr>
            <w:tcW w:w="884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</w:p>
        </w:tc>
      </w:tr>
      <w:tr w:rsidR="009E346E" w:rsidRPr="00FC695B" w:rsidTr="009E346E">
        <w:trPr>
          <w:gridAfter w:val="1"/>
          <w:wAfter w:w="62" w:type="dxa"/>
          <w:trHeight w:val="218"/>
          <w:jc w:val="center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Végzés éve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Végzett hallgatók száma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Aktív félévek száma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Passzív félévek száma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Passzív/végzett (%)</w:t>
            </w:r>
          </w:p>
        </w:tc>
      </w:tr>
      <w:tr w:rsidR="009E346E" w:rsidRPr="00FC695B" w:rsidTr="009E346E">
        <w:trPr>
          <w:gridAfter w:val="1"/>
          <w:wAfter w:w="62" w:type="dxa"/>
          <w:trHeight w:val="216"/>
          <w:jc w:val="center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Aktív/végzett (%)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RPr="00FC695B" w:rsidTr="009E346E">
        <w:trPr>
          <w:gridAfter w:val="1"/>
          <w:wAfter w:w="62" w:type="dxa"/>
          <w:trHeight w:val="216"/>
          <w:jc w:val="center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RPr="00FC695B" w:rsidTr="009E346E">
        <w:trPr>
          <w:gridAfter w:val="1"/>
          <w:wAfter w:w="62" w:type="dxa"/>
          <w:trHeight w:val="310"/>
          <w:jc w:val="center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1168,18%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22,73%</w:t>
            </w:r>
          </w:p>
        </w:tc>
      </w:tr>
      <w:tr w:rsidR="009E346E" w:rsidRPr="00FC695B" w:rsidTr="009E346E">
        <w:trPr>
          <w:gridAfter w:val="1"/>
          <w:wAfter w:w="62" w:type="dxa"/>
          <w:trHeight w:val="310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1172,73%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18,18%</w:t>
            </w:r>
          </w:p>
        </w:tc>
      </w:tr>
      <w:tr w:rsidR="009E346E" w:rsidRPr="00FC695B" w:rsidTr="009E346E">
        <w:trPr>
          <w:gridAfter w:val="1"/>
          <w:wAfter w:w="62" w:type="dxa"/>
          <w:trHeight w:val="310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1076,47%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11,76%</w:t>
            </w:r>
          </w:p>
        </w:tc>
      </w:tr>
      <w:tr w:rsidR="009E346E" w:rsidRPr="00FC695B" w:rsidTr="009E346E">
        <w:trPr>
          <w:gridAfter w:val="1"/>
          <w:wAfter w:w="62" w:type="dxa"/>
          <w:trHeight w:val="310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1126,67%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3,33%</w:t>
            </w:r>
          </w:p>
        </w:tc>
      </w:tr>
      <w:tr w:rsidR="009E346E" w:rsidRPr="00FC695B" w:rsidTr="009E346E">
        <w:trPr>
          <w:gridAfter w:val="1"/>
          <w:wAfter w:w="62" w:type="dxa"/>
          <w:trHeight w:val="310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1125,00%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9E346E" w:rsidRPr="00FC695B" w:rsidTr="009E346E">
        <w:trPr>
          <w:gridAfter w:val="1"/>
          <w:wAfter w:w="62" w:type="dxa"/>
          <w:trHeight w:val="320"/>
          <w:jc w:val="center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1025,00%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6E" w:rsidRPr="00FC695B" w:rsidRDefault="009E346E" w:rsidP="009E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B">
              <w:rPr>
                <w:rFonts w:ascii="Times New Roman" w:hAnsi="Times New Roman" w:cs="Times New Roman"/>
                <w:sz w:val="24"/>
                <w:szCs w:val="24"/>
              </w:rPr>
              <w:t>18,75%</w:t>
            </w:r>
          </w:p>
        </w:tc>
      </w:tr>
    </w:tbl>
    <w:p w:rsidR="007B35FF" w:rsidRPr="007B35FF" w:rsidRDefault="007B35FF" w:rsidP="00190A6B">
      <w:pPr>
        <w:pStyle w:val="Default"/>
        <w:jc w:val="both"/>
        <w:rPr>
          <w:b/>
        </w:rPr>
      </w:pPr>
      <w:r w:rsidRPr="007B35FF">
        <w:rPr>
          <w:b/>
        </w:rPr>
        <w:lastRenderedPageBreak/>
        <w:t xml:space="preserve">A MAB 2014/10/XII/1. sz. határozatában megfogalmazott javaslatok és </w:t>
      </w:r>
      <w:r w:rsidR="00BB09EA">
        <w:rPr>
          <w:b/>
        </w:rPr>
        <w:t xml:space="preserve">a </w:t>
      </w:r>
      <w:r w:rsidRPr="007B35FF">
        <w:rPr>
          <w:b/>
        </w:rPr>
        <w:t>kari intézkedések:</w:t>
      </w:r>
    </w:p>
    <w:p w:rsidR="007B35FF" w:rsidRPr="007B35FF" w:rsidRDefault="007B35FF" w:rsidP="0019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5FF" w:rsidRPr="009E346E" w:rsidRDefault="009E346E" w:rsidP="00190A6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346E">
        <w:rPr>
          <w:rFonts w:ascii="Times New Roman" w:hAnsi="Times New Roman"/>
          <w:bCs/>
          <w:i/>
          <w:color w:val="000000"/>
          <w:sz w:val="24"/>
          <w:szCs w:val="24"/>
        </w:rPr>
        <w:t>„</w:t>
      </w:r>
      <w:r w:rsidR="007B35FF" w:rsidRPr="009E346E">
        <w:rPr>
          <w:rFonts w:ascii="Times New Roman" w:hAnsi="Times New Roman"/>
          <w:bCs/>
          <w:i/>
          <w:color w:val="000000"/>
          <w:sz w:val="24"/>
          <w:szCs w:val="24"/>
        </w:rPr>
        <w:t>A</w:t>
      </w:r>
      <w:r w:rsidR="007B35FF" w:rsidRPr="009E346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7B35FF" w:rsidRPr="009E346E">
        <w:rPr>
          <w:rFonts w:ascii="Times New Roman" w:hAnsi="Times New Roman"/>
          <w:bCs/>
          <w:i/>
          <w:color w:val="000000"/>
          <w:sz w:val="24"/>
          <w:szCs w:val="24"/>
        </w:rPr>
        <w:t>klinikai gyakorlati képzés feltételeinek (személyi, tárgyi) jelentős javítása, színvonalának és hatékonyságának emelése</w:t>
      </w:r>
      <w:r w:rsidR="007B35FF" w:rsidRPr="009E346E">
        <w:rPr>
          <w:rFonts w:ascii="Times New Roman" w:hAnsi="Times New Roman"/>
          <w:i/>
          <w:color w:val="000000"/>
          <w:sz w:val="24"/>
          <w:szCs w:val="24"/>
        </w:rPr>
        <w:t xml:space="preserve">. Javasolt átgondolni a külső gyakorlatok helyszínéül igénybe vehető, számításba jövő (jobbára fővárosi) kórházak („gyakorló kórházak”) és az </w:t>
      </w:r>
      <w:r w:rsidR="007B35FF" w:rsidRPr="009E346E">
        <w:rPr>
          <w:rFonts w:ascii="Times New Roman" w:hAnsi="Times New Roman"/>
          <w:bCs/>
          <w:i/>
          <w:color w:val="000000"/>
          <w:sz w:val="24"/>
          <w:szCs w:val="24"/>
        </w:rPr>
        <w:t xml:space="preserve">oktatókórházi minősítés </w:t>
      </w:r>
      <w:r w:rsidR="007B35FF" w:rsidRPr="009E346E">
        <w:rPr>
          <w:rFonts w:ascii="Times New Roman" w:hAnsi="Times New Roman"/>
          <w:i/>
          <w:color w:val="000000"/>
          <w:sz w:val="24"/>
          <w:szCs w:val="24"/>
        </w:rPr>
        <w:t xml:space="preserve">általuk alkalmazott jelenlegi rendszerét, ez utóbbi kör bővítését – természetesen a </w:t>
      </w:r>
      <w:r w:rsidR="007B35FF" w:rsidRPr="009E346E">
        <w:rPr>
          <w:rFonts w:ascii="Times New Roman" w:hAnsi="Times New Roman"/>
          <w:bCs/>
          <w:i/>
          <w:color w:val="000000"/>
          <w:sz w:val="24"/>
          <w:szCs w:val="24"/>
        </w:rPr>
        <w:t>szigorú minőségi elvárások megtartásá</w:t>
      </w:r>
      <w:r w:rsidR="007B35FF" w:rsidRPr="009E346E">
        <w:rPr>
          <w:rFonts w:ascii="Times New Roman" w:hAnsi="Times New Roman"/>
          <w:i/>
          <w:color w:val="000000"/>
          <w:sz w:val="24"/>
          <w:szCs w:val="24"/>
        </w:rPr>
        <w:t>nak bázisán.</w:t>
      </w:r>
      <w:r w:rsidRPr="009E346E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:rsidR="007B35FF" w:rsidRPr="00E54559" w:rsidRDefault="007B35FF" w:rsidP="00190A6B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A76" w:rsidRPr="00E54559" w:rsidRDefault="00730A76" w:rsidP="00190A6B">
      <w:pPr>
        <w:autoSpaceDE w:val="0"/>
        <w:autoSpaceDN w:val="0"/>
        <w:adjustRightInd w:val="0"/>
        <w:spacing w:after="4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4559">
        <w:rPr>
          <w:rFonts w:ascii="Times New Roman" w:hAnsi="Times New Roman" w:cs="Times New Roman"/>
          <w:sz w:val="24"/>
          <w:szCs w:val="24"/>
        </w:rPr>
        <w:t xml:space="preserve">A Semmelweis Egyetem színvonalas oktatói gárdával és infrastruktúrával rendelkező </w:t>
      </w:r>
      <w:r w:rsidRPr="00E54559">
        <w:rPr>
          <w:rFonts w:ascii="Times New Roman" w:hAnsi="Times New Roman" w:cs="Times New Roman"/>
          <w:bCs/>
          <w:sz w:val="24"/>
          <w:szCs w:val="24"/>
        </w:rPr>
        <w:t xml:space="preserve">15 kórház 46 osztályát akkreditálta, mint oktatóosztály. Két kórház (az </w:t>
      </w:r>
      <w:proofErr w:type="spellStart"/>
      <w:r w:rsidRPr="00E54559">
        <w:rPr>
          <w:rFonts w:ascii="Times New Roman" w:hAnsi="Times New Roman" w:cs="Times New Roman"/>
          <w:bCs/>
          <w:sz w:val="24"/>
          <w:szCs w:val="24"/>
        </w:rPr>
        <w:t>Uzsoki</w:t>
      </w:r>
      <w:proofErr w:type="spellEnd"/>
      <w:r w:rsidRPr="00E54559">
        <w:rPr>
          <w:rFonts w:ascii="Times New Roman" w:hAnsi="Times New Roman" w:cs="Times New Roman"/>
          <w:bCs/>
          <w:sz w:val="24"/>
          <w:szCs w:val="24"/>
        </w:rPr>
        <w:t xml:space="preserve"> Utcai Kórház és az MH </w:t>
      </w:r>
      <w:proofErr w:type="spellStart"/>
      <w:r w:rsidRPr="00E54559">
        <w:rPr>
          <w:rFonts w:ascii="Times New Roman" w:hAnsi="Times New Roman" w:cs="Times New Roman"/>
          <w:bCs/>
          <w:sz w:val="24"/>
          <w:szCs w:val="24"/>
        </w:rPr>
        <w:t>Honvédkórház-Állami</w:t>
      </w:r>
      <w:proofErr w:type="spellEnd"/>
      <w:r w:rsidRPr="00E54559">
        <w:rPr>
          <w:rFonts w:ascii="Times New Roman" w:hAnsi="Times New Roman" w:cs="Times New Roman"/>
          <w:bCs/>
          <w:sz w:val="24"/>
          <w:szCs w:val="24"/>
        </w:rPr>
        <w:t xml:space="preserve"> Egészségügyi Központ), mint oktatókórház kiemelt feladatot lát el a klinikai gyakorlati oktatási kapacitás kiegészítésében.</w:t>
      </w:r>
      <w:r w:rsidRPr="00E54559">
        <w:rPr>
          <w:rFonts w:ascii="Times New Roman" w:hAnsi="Times New Roman" w:cs="Times New Roman"/>
          <w:sz w:val="24"/>
          <w:szCs w:val="24"/>
        </w:rPr>
        <w:t xml:space="preserve"> A klinikák ágyszámának négy évvel ezelőtti csökkentése </w:t>
      </w:r>
      <w:r w:rsidR="00BB09EA">
        <w:rPr>
          <w:rFonts w:ascii="Times New Roman" w:hAnsi="Times New Roman" w:cs="Times New Roman"/>
          <w:sz w:val="24"/>
          <w:szCs w:val="24"/>
        </w:rPr>
        <w:t xml:space="preserve">sajnos </w:t>
      </w:r>
      <w:r w:rsidRPr="00E54559">
        <w:rPr>
          <w:rFonts w:ascii="Times New Roman" w:hAnsi="Times New Roman" w:cs="Times New Roman"/>
          <w:sz w:val="24"/>
          <w:szCs w:val="24"/>
        </w:rPr>
        <w:t xml:space="preserve">nem teszi lehetővé az ideális, kiscsoportos kórtermi oktatás folyamatosságát. </w:t>
      </w:r>
    </w:p>
    <w:p w:rsidR="00730A76" w:rsidRDefault="00730A76" w:rsidP="00190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33D" w:rsidRDefault="00730A76" w:rsidP="00B8633D">
      <w:pPr>
        <w:pStyle w:val="MellkletAl"/>
      </w:pPr>
      <w:r>
        <w:rPr>
          <w:rFonts w:eastAsia="Calibri"/>
        </w:rPr>
        <w:lastRenderedPageBreak/>
        <w:t>Az SE ÁOK által akkreditált k</w:t>
      </w:r>
      <w:r w:rsidR="00B8633D" w:rsidRPr="003661EC">
        <w:rPr>
          <w:rFonts w:eastAsia="Calibri"/>
        </w:rPr>
        <w:t>órház</w:t>
      </w:r>
      <w:r>
        <w:rPr>
          <w:rFonts w:eastAsia="Calibri"/>
        </w:rPr>
        <w:t>i-</w:t>
      </w:r>
      <w:r w:rsidR="00B8633D" w:rsidRPr="003661EC">
        <w:rPr>
          <w:rFonts w:eastAsia="Calibri"/>
        </w:rPr>
        <w:t xml:space="preserve">, </w:t>
      </w:r>
      <w:r>
        <w:rPr>
          <w:rFonts w:eastAsia="Calibri"/>
        </w:rPr>
        <w:t xml:space="preserve">illetve </w:t>
      </w:r>
      <w:r w:rsidR="00B8633D" w:rsidRPr="00DD30C8">
        <w:rPr>
          <w:rFonts w:eastAsia="Calibri"/>
          <w:szCs w:val="24"/>
        </w:rPr>
        <w:t>egészségügyi</w:t>
      </w:r>
      <w:r w:rsidR="00B8633D" w:rsidRPr="003661EC">
        <w:rPr>
          <w:rFonts w:eastAsia="Calibri"/>
        </w:rPr>
        <w:t xml:space="preserve"> ellátást végző intéz</w:t>
      </w:r>
      <w:r w:rsidR="00B8633D">
        <w:rPr>
          <w:rFonts w:eastAsia="Calibri"/>
        </w:rPr>
        <w:t>mények</w:t>
      </w:r>
      <w:r>
        <w:rPr>
          <w:rFonts w:eastAsia="Calibri"/>
        </w:rPr>
        <w:t xml:space="preserve"> osztályai 2015-ben:</w:t>
      </w:r>
      <w:r w:rsidR="00B8633D" w:rsidRPr="003661EC">
        <w:t xml:space="preserve"> </w:t>
      </w:r>
    </w:p>
    <w:tbl>
      <w:tblPr>
        <w:tblStyle w:val="Rcsostblzat"/>
        <w:tblpPr w:leftFromText="141" w:rightFromText="141" w:vertAnchor="text" w:horzAnchor="margin" w:tblpXSpec="center" w:tblpY="176"/>
        <w:tblW w:w="10774" w:type="dxa"/>
        <w:tblLook w:val="04A0" w:firstRow="1" w:lastRow="0" w:firstColumn="1" w:lastColumn="0" w:noHBand="0" w:noVBand="1"/>
      </w:tblPr>
      <w:tblGrid>
        <w:gridCol w:w="4786"/>
        <w:gridCol w:w="5988"/>
      </w:tblGrid>
      <w:tr w:rsidR="00B8633D" w:rsidTr="00B8633D">
        <w:trPr>
          <w:trHeight w:val="12845"/>
        </w:trPr>
        <w:tc>
          <w:tcPr>
            <w:tcW w:w="4786" w:type="dxa"/>
          </w:tcPr>
          <w:p w:rsidR="00B8633D" w:rsidRPr="00AD11CC" w:rsidRDefault="00B8633D" w:rsidP="00B863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AD1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emmelweis Egyetem VI. éves graduális képzés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D11C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Budapesti kórházak:</w:t>
            </w:r>
          </w:p>
          <w:p w:rsidR="00B8633D" w:rsidRPr="00AD11CC" w:rsidRDefault="00B8633D" w:rsidP="00B8633D">
            <w:pPr>
              <w:pStyle w:val="Cmsor1"/>
              <w:numPr>
                <w:ilvl w:val="0"/>
                <w:numId w:val="0"/>
              </w:numPr>
              <w:tabs>
                <w:tab w:val="right" w:pos="8280"/>
              </w:tabs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bCs w:val="0"/>
                <w:smallCaps w:val="0"/>
                <w:color w:val="auto"/>
                <w:sz w:val="18"/>
                <w:szCs w:val="18"/>
              </w:rPr>
            </w:pPr>
            <w:bookmarkStart w:id="3" w:name="_Toc437629971"/>
            <w:bookmarkStart w:id="4" w:name="_Toc437630727"/>
            <w:bookmarkStart w:id="5" w:name="_Toc437804820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>Bethesda Gyermekkórház</w:t>
            </w:r>
            <w:bookmarkEnd w:id="3"/>
            <w:bookmarkEnd w:id="4"/>
            <w:bookmarkEnd w:id="5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 xml:space="preserve">                </w:t>
            </w:r>
          </w:p>
          <w:p w:rsidR="00B8633D" w:rsidRPr="00AD11CC" w:rsidRDefault="00B8633D" w:rsidP="00B8633D">
            <w:pPr>
              <w:pStyle w:val="Cmsor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</w:pPr>
            <w:bookmarkStart w:id="6" w:name="_Toc437629972"/>
            <w:bookmarkStart w:id="7" w:name="_Toc437630728"/>
            <w:bookmarkStart w:id="8" w:name="_Toc437804821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>Egyesített Szent István és Szent László Kórház</w:t>
            </w:r>
            <w:bookmarkEnd w:id="6"/>
            <w:bookmarkEnd w:id="7"/>
            <w:bookmarkEnd w:id="8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 xml:space="preserve">           </w:t>
            </w:r>
          </w:p>
          <w:p w:rsidR="00B8633D" w:rsidRPr="00AD11CC" w:rsidRDefault="00B8633D" w:rsidP="00B8633D">
            <w:pPr>
              <w:pStyle w:val="Cmsor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</w:pPr>
            <w:bookmarkStart w:id="9" w:name="_Toc437629973"/>
            <w:bookmarkStart w:id="10" w:name="_Toc437630729"/>
            <w:bookmarkStart w:id="11" w:name="_Toc437804822"/>
            <w:proofErr w:type="spellStart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>Gottsegen</w:t>
            </w:r>
            <w:proofErr w:type="spellEnd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 xml:space="preserve"> György Országos Kardiológiai Intézet</w:t>
            </w:r>
            <w:bookmarkEnd w:id="9"/>
            <w:bookmarkEnd w:id="10"/>
            <w:bookmarkEnd w:id="11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 xml:space="preserve">         </w:t>
            </w:r>
          </w:p>
          <w:p w:rsidR="00B8633D" w:rsidRPr="00AD11CC" w:rsidRDefault="00B8633D" w:rsidP="00B8633D">
            <w:pPr>
              <w:pStyle w:val="Cmsor1"/>
              <w:numPr>
                <w:ilvl w:val="0"/>
                <w:numId w:val="0"/>
              </w:numPr>
              <w:tabs>
                <w:tab w:val="right" w:pos="8280"/>
              </w:tabs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</w:pPr>
            <w:bookmarkStart w:id="12" w:name="_Toc437629974"/>
            <w:bookmarkStart w:id="13" w:name="_Toc437630730"/>
            <w:bookmarkStart w:id="14" w:name="_Toc437804823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>Heim Pál Gyermekkórház</w:t>
            </w:r>
            <w:bookmarkEnd w:id="12"/>
            <w:bookmarkEnd w:id="13"/>
            <w:bookmarkEnd w:id="14"/>
          </w:p>
          <w:p w:rsidR="00B8633D" w:rsidRPr="00AD11CC" w:rsidRDefault="00B8633D" w:rsidP="00B8633D">
            <w:pPr>
              <w:pStyle w:val="Cmsor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</w:pPr>
            <w:bookmarkStart w:id="15" w:name="_Toc437629975"/>
            <w:bookmarkStart w:id="16" w:name="_Toc437630731"/>
            <w:bookmarkStart w:id="17" w:name="_Toc437804824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>Károlyi Sándor (Újpesti) Kórház</w:t>
            </w:r>
            <w:bookmarkEnd w:id="15"/>
            <w:bookmarkEnd w:id="16"/>
            <w:bookmarkEnd w:id="17"/>
          </w:p>
          <w:p w:rsidR="00B8633D" w:rsidRPr="00AD11CC" w:rsidRDefault="00B8633D" w:rsidP="00B8633D">
            <w:pPr>
              <w:tabs>
                <w:tab w:val="left" w:pos="709"/>
                <w:tab w:val="left" w:pos="1418"/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Merényi Gusztáv Kórház </w:t>
            </w:r>
          </w:p>
          <w:p w:rsidR="00B8633D" w:rsidRPr="00AD11CC" w:rsidRDefault="00B8633D" w:rsidP="00B8633D">
            <w:pPr>
              <w:pStyle w:val="Cmsor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</w:pPr>
            <w:bookmarkStart w:id="18" w:name="_Toc437629976"/>
            <w:bookmarkStart w:id="19" w:name="_Toc437630732"/>
            <w:bookmarkStart w:id="20" w:name="_Toc437804825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>Péterfy Sándor utcai Kórház Erzsébet Kórháza</w:t>
            </w:r>
            <w:bookmarkEnd w:id="18"/>
            <w:bookmarkEnd w:id="19"/>
            <w:bookmarkEnd w:id="20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 xml:space="preserve"> 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Péterfy Sándor Utcai Kórház Baleseti Központ Fiumei úti telephelye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Megyei Oktató Kórházak: 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Dunaújváros, Szent Pantaleon Kórház 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Esztergom, Vaszary Kolos Kórház 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Győr, Petz Aladár Megyei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Oktatókorház</w:t>
            </w:r>
            <w:proofErr w:type="spellEnd"/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Kistarcsa, Flór Ferenc Kórház (belgyógyászat, sebészet, gyerekgyógyászat)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Salgótarján</w:t>
            </w:r>
            <w:proofErr w:type="gram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,  Szent</w:t>
            </w:r>
            <w:proofErr w:type="gram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Lázár Megyei Kórház (belgyógyászat, gyerekgyógyászat, sebészet)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Sopron</w:t>
            </w:r>
            <w:proofErr w:type="gram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,  Erzsébet</w:t>
            </w:r>
            <w:proofErr w:type="gram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Kórház (sebészet)</w:t>
            </w:r>
          </w:p>
          <w:p w:rsidR="00B8633D" w:rsidRPr="00AD11CC" w:rsidRDefault="00B8633D" w:rsidP="00B8633D">
            <w:pPr>
              <w:pStyle w:val="Cmsor1"/>
              <w:numPr>
                <w:ilvl w:val="0"/>
                <w:numId w:val="0"/>
              </w:numPr>
              <w:tabs>
                <w:tab w:val="right" w:pos="8280"/>
              </w:tabs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</w:pPr>
            <w:bookmarkStart w:id="21" w:name="_Toc437629977"/>
            <w:bookmarkStart w:id="22" w:name="_Toc437630733"/>
            <w:bookmarkStart w:id="23" w:name="_Toc437804826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>Székesfehérvár, Szent György Kórház, Székesfehérvár</w:t>
            </w:r>
            <w:bookmarkEnd w:id="21"/>
            <w:bookmarkEnd w:id="22"/>
            <w:bookmarkEnd w:id="23"/>
            <w:r w:rsidRPr="00AD11CC">
              <w:rPr>
                <w:rFonts w:ascii="Times New Roman" w:hAnsi="Times New Roman"/>
                <w:b w:val="0"/>
                <w:smallCaps w:val="0"/>
                <w:color w:val="auto"/>
                <w:sz w:val="18"/>
                <w:szCs w:val="18"/>
              </w:rPr>
              <w:t xml:space="preserve">                                                        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Tatabánya, Szent Borbála Kórház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Vác</w:t>
            </w:r>
            <w:proofErr w:type="gram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Jávorszky</w:t>
            </w:r>
            <w:proofErr w:type="spellEnd"/>
            <w:proofErr w:type="gram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Ödön Kórház (ideggyógyászat, sebészet)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Veszprém,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Csolnoky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Ferenc Kórház (belgyógyászat, gyerekgyógyászat, sebészet,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traumat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5988" w:type="dxa"/>
          </w:tcPr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Semmelweis Egyetem akkreditált oktató osztályai (2015.)</w:t>
            </w:r>
          </w:p>
          <w:p w:rsidR="00B8633D" w:rsidRDefault="00B8633D" w:rsidP="00B8633D">
            <w:pPr>
              <w:ind w:lef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Bajcsy-Zsilinszky Kórház és </w:t>
            </w:r>
            <w:proofErr w:type="spell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Rendelőint</w:t>
            </w:r>
            <w:proofErr w:type="spellEnd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I. Belgyógyászati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III.Belgyógyászati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Immunnephrológiai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Neurológiai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Budai </w:t>
            </w:r>
            <w:proofErr w:type="spell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Irgalmasrendi</w:t>
            </w:r>
            <w:proofErr w:type="spellEnd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Kórház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Belgyógyászati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3. Budapesti Szent Ferenc Kórház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Kardiológiai Rehabilitációs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Egyesített Szent István és Szent László </w:t>
            </w:r>
            <w:proofErr w:type="spell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Kórház-Rendelőintézet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Merényi Gusztáv Kórház telephely, Traumatológiai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Neurológiai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Merényi Gusztáv Kórház telephely, Pszichiátriai Osztály,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Addiktológiai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Rehabilitációs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Jahn</w:t>
            </w:r>
            <w:proofErr w:type="spellEnd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Ferenc Dél-pesti Kórház és </w:t>
            </w:r>
            <w:proofErr w:type="spell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Rendelőint</w:t>
            </w:r>
            <w:proofErr w:type="spellEnd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Neurológiai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I. Pszichiátriai és Pszichiátriai Rehabilitációs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III. Pszichiátriai Rehabilitációs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Sebészeti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6. Magyar Honvédség Egészségügyi Központ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Baleseti Sebészeti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Gasztroenterológiai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I. telephely,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I.Belgyógyászati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I. telephely, III. Belgyógyászati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II. telephely, Onkológiai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Neurológiai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Nyírő Gyula Kórház Országos Pszichiátriai és </w:t>
            </w:r>
            <w:proofErr w:type="spell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Addikt</w:t>
            </w:r>
            <w:proofErr w:type="gram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.Intézet</w:t>
            </w:r>
            <w:proofErr w:type="spellEnd"/>
            <w:proofErr w:type="gramEnd"/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Addiktológiai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Belgyógyászati Osztály</w:t>
            </w:r>
          </w:p>
          <w:p w:rsidR="00B8633D" w:rsidRPr="00AD11CC" w:rsidRDefault="00B8633D" w:rsidP="00B8633D">
            <w:pPr>
              <w:pStyle w:val="Listaszerbekezds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/>
              <w:ind w:left="317" w:hanging="142"/>
              <w:rPr>
                <w:rFonts w:ascii="Times New Roman" w:hAnsi="Times New Roman"/>
                <w:sz w:val="18"/>
                <w:szCs w:val="18"/>
              </w:rPr>
            </w:pPr>
            <w:r w:rsidRPr="00AD11CC">
              <w:rPr>
                <w:rFonts w:ascii="Times New Roman" w:hAnsi="Times New Roman"/>
                <w:b/>
                <w:sz w:val="18"/>
                <w:szCs w:val="18"/>
              </w:rPr>
              <w:t>Országos Gerincgyógyászati Központ</w:t>
            </w:r>
          </w:p>
          <w:p w:rsidR="00B8633D" w:rsidRPr="00AD11CC" w:rsidRDefault="00B8633D" w:rsidP="00B8633D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Országos Klinikai Idegtudományi Intézet</w:t>
            </w: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Neurológiai Osztály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Péterfy Sándor Utcai </w:t>
            </w:r>
            <w:proofErr w:type="spell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Kórház-Rend</w:t>
            </w:r>
            <w:proofErr w:type="gram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.Intézet</w:t>
            </w:r>
            <w:proofErr w:type="spellEnd"/>
            <w:proofErr w:type="gramEnd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és Baleseti Kp.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II.Belgyógyászati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Neurológiai Osztály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III. Mozgásszervi Osztály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IV. Mozgásszervi Osztály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VI. Mozgásszervi Osztály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VII. Mozgásszervi Osztály</w:t>
            </w:r>
          </w:p>
          <w:p w:rsidR="00B8633D" w:rsidRPr="00AD11CC" w:rsidRDefault="00B8633D" w:rsidP="00B8633D">
            <w:pPr>
              <w:pStyle w:val="Listaszerbekezds"/>
              <w:numPr>
                <w:ilvl w:val="0"/>
                <w:numId w:val="4"/>
              </w:numPr>
              <w:tabs>
                <w:tab w:val="clear" w:pos="720"/>
                <w:tab w:val="num" w:pos="352"/>
              </w:tabs>
              <w:spacing w:after="0"/>
              <w:ind w:left="493" w:hanging="283"/>
              <w:rPr>
                <w:rFonts w:ascii="Times New Roman" w:hAnsi="Times New Roman"/>
                <w:sz w:val="18"/>
                <w:szCs w:val="18"/>
              </w:rPr>
            </w:pPr>
            <w:r w:rsidRPr="00AD11CC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  <w:r w:rsidRPr="00AD11CC">
              <w:rPr>
                <w:rFonts w:ascii="Times New Roman" w:hAnsi="Times New Roman"/>
                <w:b/>
                <w:sz w:val="18"/>
                <w:szCs w:val="18"/>
              </w:rPr>
              <w:t>Szent Imre Egyetemi Oktatókórház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 Általános Kardiológiai Profil,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Koronária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Őrző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Nephrológia-Hypertonia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Profil és Aktív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Geriátriai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Részleg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 Neurológiai és Stroke</w:t>
            </w:r>
          </w:p>
          <w:p w:rsidR="00B8633D" w:rsidRPr="00AD11CC" w:rsidRDefault="00B8633D" w:rsidP="00B8633D">
            <w:pPr>
              <w:ind w:firstLine="2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12. </w:t>
            </w: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Szent János Kórház és Észak-budai Egyesített Kórházak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I.Belgyógyászati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és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Gasztroenterológiai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II.Belgyógyászati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és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Diabetológiai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 Neurológiai Osztály – Stroke Centrum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Ortopéd-Traumatológia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Osztály</w:t>
            </w:r>
            <w:proofErr w:type="gramEnd"/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 Pszichiátriai Osztály</w:t>
            </w:r>
          </w:p>
          <w:p w:rsidR="00B8633D" w:rsidRPr="00AD11CC" w:rsidRDefault="00B8633D" w:rsidP="00B86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    Traumatológiai és Kézsebészeti Osztály</w:t>
            </w:r>
          </w:p>
          <w:p w:rsidR="00B8633D" w:rsidRPr="00AD11CC" w:rsidRDefault="00B8633D" w:rsidP="00B8633D">
            <w:pPr>
              <w:pStyle w:val="Listaszerbekezds"/>
              <w:numPr>
                <w:ilvl w:val="0"/>
                <w:numId w:val="3"/>
              </w:numPr>
              <w:spacing w:after="0"/>
              <w:ind w:left="493" w:hanging="283"/>
              <w:rPr>
                <w:rFonts w:ascii="Times New Roman" w:hAnsi="Times New Roman"/>
                <w:b/>
                <w:sz w:val="18"/>
                <w:szCs w:val="18"/>
              </w:rPr>
            </w:pPr>
            <w:r w:rsidRPr="00AD11CC">
              <w:rPr>
                <w:rFonts w:ascii="Times New Roman" w:hAnsi="Times New Roman"/>
                <w:b/>
                <w:sz w:val="18"/>
                <w:szCs w:val="18"/>
              </w:rPr>
              <w:t>Szent Margit Kórház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Nephrológiai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</w:t>
            </w:r>
            <w:proofErr w:type="spell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Uzsoki</w:t>
            </w:r>
            <w:proofErr w:type="spellEnd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utcai Kórház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II.Belgyógyászati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III.Belgyógyászati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Neurológiai Osztály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>Ortopéd-Traumatológiai</w:t>
            </w:r>
            <w:proofErr w:type="spellEnd"/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Osztály</w:t>
            </w:r>
          </w:p>
          <w:p w:rsidR="00B8633D" w:rsidRPr="00AD11CC" w:rsidRDefault="00B8633D" w:rsidP="00B8633D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 w:rsidRPr="00AD1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Vadaskert Gyermek és </w:t>
            </w:r>
            <w:proofErr w:type="spell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Ifjúságpszich</w:t>
            </w:r>
            <w:proofErr w:type="spellEnd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Kórház és </w:t>
            </w:r>
            <w:proofErr w:type="spellStart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Szakamb</w:t>
            </w:r>
            <w:proofErr w:type="spellEnd"/>
            <w:r w:rsidRPr="00AD11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B8633D" w:rsidRPr="007B35FF" w:rsidRDefault="00B8633D" w:rsidP="007B35FF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</w:rPr>
      </w:pPr>
    </w:p>
    <w:p w:rsidR="007B35FF" w:rsidRPr="009E346E" w:rsidRDefault="009E346E" w:rsidP="00190A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346E">
        <w:rPr>
          <w:rFonts w:ascii="Times New Roman" w:hAnsi="Times New Roman"/>
          <w:i/>
          <w:color w:val="000000"/>
          <w:sz w:val="24"/>
          <w:szCs w:val="24"/>
        </w:rPr>
        <w:lastRenderedPageBreak/>
        <w:t>„</w:t>
      </w:r>
      <w:r w:rsidR="007B35FF" w:rsidRPr="009E346E">
        <w:rPr>
          <w:rFonts w:ascii="Times New Roman" w:hAnsi="Times New Roman"/>
          <w:i/>
          <w:color w:val="000000"/>
          <w:sz w:val="24"/>
          <w:szCs w:val="24"/>
        </w:rPr>
        <w:t xml:space="preserve">A klinikai gyakorlati oktatás szervezésében javasolt a </w:t>
      </w:r>
      <w:r w:rsidR="007B35FF" w:rsidRPr="009E346E">
        <w:rPr>
          <w:rFonts w:ascii="Times New Roman" w:hAnsi="Times New Roman"/>
          <w:bCs/>
          <w:i/>
          <w:color w:val="000000"/>
          <w:sz w:val="24"/>
          <w:szCs w:val="24"/>
        </w:rPr>
        <w:t xml:space="preserve">blokkosítás bevezetése, </w:t>
      </w:r>
      <w:r w:rsidR="007B35FF" w:rsidRPr="009E346E">
        <w:rPr>
          <w:rFonts w:ascii="Times New Roman" w:hAnsi="Times New Roman"/>
          <w:i/>
          <w:color w:val="000000"/>
          <w:sz w:val="24"/>
          <w:szCs w:val="24"/>
        </w:rPr>
        <w:t xml:space="preserve">illetve </w:t>
      </w:r>
      <w:r w:rsidR="007B35FF" w:rsidRPr="009E346E">
        <w:rPr>
          <w:rFonts w:ascii="Times New Roman" w:hAnsi="Times New Roman"/>
          <w:bCs/>
          <w:i/>
          <w:color w:val="000000"/>
          <w:sz w:val="24"/>
          <w:szCs w:val="24"/>
        </w:rPr>
        <w:t>kiterjesztése</w:t>
      </w:r>
      <w:r w:rsidR="007B35FF" w:rsidRPr="009E346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9E346E">
        <w:rPr>
          <w:rFonts w:ascii="Times New Roman" w:hAnsi="Times New Roman"/>
          <w:i/>
          <w:color w:val="000000"/>
          <w:sz w:val="24"/>
          <w:szCs w:val="24"/>
        </w:rPr>
        <w:t>„</w:t>
      </w:r>
    </w:p>
    <w:p w:rsidR="00E54559" w:rsidRDefault="00E54559" w:rsidP="00190A6B">
      <w:pPr>
        <w:pStyle w:val="Default"/>
        <w:ind w:firstLine="360"/>
        <w:jc w:val="both"/>
      </w:pPr>
    </w:p>
    <w:p w:rsidR="00E54559" w:rsidRPr="00E54559" w:rsidRDefault="00E54559" w:rsidP="00190A6B">
      <w:pPr>
        <w:pStyle w:val="Default"/>
        <w:ind w:firstLine="360"/>
        <w:jc w:val="both"/>
      </w:pPr>
      <w:r w:rsidRPr="00E54559">
        <w:t>2014/2015. tanévben a HÖK vezetésével együttműködve megszerveztük, majd 2015/2016. tanév</w:t>
      </w:r>
      <w:bookmarkStart w:id="24" w:name="_GoBack"/>
      <w:bookmarkEnd w:id="24"/>
      <w:r w:rsidRPr="00E54559">
        <w:t>től bevezettük elsőként az ötödéves gyakorlatok blokkosított formában történő oktatását.</w:t>
      </w:r>
    </w:p>
    <w:p w:rsidR="00E54559" w:rsidRPr="00E54559" w:rsidRDefault="00E54559" w:rsidP="00190A6B">
      <w:pPr>
        <w:pStyle w:val="Default"/>
        <w:jc w:val="both"/>
        <w:rPr>
          <w:color w:val="auto"/>
        </w:rPr>
      </w:pPr>
      <w:r w:rsidRPr="00E54559">
        <w:rPr>
          <w:color w:val="auto"/>
        </w:rPr>
        <w:t>A blokkosított oktatással kapcsolatos elégedettséget a 2015/2016. I félévében a jelenlegi megbízott ÁOK HÖK elnök (Báthor</w:t>
      </w:r>
      <w:r w:rsidR="00A430E5">
        <w:rPr>
          <w:color w:val="auto"/>
        </w:rPr>
        <w:t>i</w:t>
      </w:r>
      <w:r w:rsidRPr="00E54559">
        <w:rPr>
          <w:color w:val="auto"/>
        </w:rPr>
        <w:t xml:space="preserve"> Gergő ÁOK V. évf.) kezdeményezésére, turnusonként </w:t>
      </w:r>
      <w:r w:rsidR="003354B2">
        <w:rPr>
          <w:color w:val="auto"/>
        </w:rPr>
        <w:t>k</w:t>
      </w:r>
      <w:r w:rsidRPr="00E54559">
        <w:rPr>
          <w:color w:val="auto"/>
        </w:rPr>
        <w:t xml:space="preserve">éthetenként, összesen hét alkalommal mérte fel a Hallgatói Önkormányzat. Az oktatásban részt vevő hallgatók pozitívan nyilatkoztak a </w:t>
      </w:r>
      <w:r w:rsidR="00A430E5">
        <w:rPr>
          <w:color w:val="auto"/>
        </w:rPr>
        <w:t>blokkosítással</w:t>
      </w:r>
      <w:r w:rsidRPr="00E54559">
        <w:rPr>
          <w:color w:val="auto"/>
        </w:rPr>
        <w:t xml:space="preserve"> kapcsolatban, azonban az egyes klinikák megítélésében mutatkoztak különbségek, melyek korrigálása folyamatosan zajlott, illetve zajlik. Az időközi felmérés azért bizonyult szerencsésnek, mivel a hallgatók számos megoldást igénylő problémára hívták fel a figyelmet. E</w:t>
      </w:r>
      <w:r w:rsidR="00BB09EA">
        <w:rPr>
          <w:color w:val="auto"/>
        </w:rPr>
        <w:t>zekben a</w:t>
      </w:r>
      <w:r w:rsidRPr="00E54559">
        <w:rPr>
          <w:color w:val="auto"/>
        </w:rPr>
        <w:t xml:space="preserve"> kérdésekben a kari vezetés és a HÖK egyeztetett javaslata alapján a szükséges korrekciók már a félév során megtörténtek (pl. pótlási lehetőség biztosítása). A felmérés összesített értékelése a</w:t>
      </w:r>
      <w:r w:rsidR="00BB09EA">
        <w:rPr>
          <w:color w:val="auto"/>
        </w:rPr>
        <w:t xml:space="preserve">z SE </w:t>
      </w:r>
      <w:proofErr w:type="spellStart"/>
      <w:r w:rsidR="00BB09EA">
        <w:rPr>
          <w:color w:val="auto"/>
        </w:rPr>
        <w:t>ÁOK-ra</w:t>
      </w:r>
      <w:proofErr w:type="spellEnd"/>
      <w:r w:rsidR="00BB09EA">
        <w:rPr>
          <w:color w:val="auto"/>
        </w:rPr>
        <w:t xml:space="preserve"> vonatkozó a</w:t>
      </w:r>
      <w:r w:rsidRPr="00E54559">
        <w:rPr>
          <w:color w:val="auto"/>
        </w:rPr>
        <w:t xml:space="preserve"> </w:t>
      </w:r>
      <w:r w:rsidR="00BB09EA">
        <w:rPr>
          <w:color w:val="auto"/>
        </w:rPr>
        <w:t>„</w:t>
      </w:r>
      <w:r w:rsidR="00BB09EA" w:rsidRPr="00BB09EA">
        <w:rPr>
          <w:i/>
        </w:rPr>
        <w:t>Hallgatói elégedettségi vizsgálat értékelése, és a szükséges intézkedések javaslata (</w:t>
      </w:r>
      <w:proofErr w:type="spellStart"/>
      <w:r w:rsidR="00BB09EA" w:rsidRPr="00BB09EA">
        <w:rPr>
          <w:i/>
        </w:rPr>
        <w:t>magyar-angol-német</w:t>
      </w:r>
      <w:proofErr w:type="spellEnd"/>
      <w:r w:rsidR="00BB09EA" w:rsidRPr="00BB09EA">
        <w:rPr>
          <w:i/>
        </w:rPr>
        <w:t>)</w:t>
      </w:r>
      <w:r w:rsidR="00BB09EA">
        <w:rPr>
          <w:color w:val="auto"/>
        </w:rPr>
        <w:t xml:space="preserve"> fejezetben </w:t>
      </w:r>
      <w:r w:rsidRPr="00E54559">
        <w:rPr>
          <w:color w:val="auto"/>
        </w:rPr>
        <w:t>található</w:t>
      </w:r>
      <w:r w:rsidR="00BB09EA">
        <w:rPr>
          <w:color w:val="auto"/>
        </w:rPr>
        <w:t xml:space="preserve"> meg</w:t>
      </w:r>
      <w:r w:rsidRPr="00E54559">
        <w:rPr>
          <w:color w:val="auto"/>
        </w:rPr>
        <w:t>.</w:t>
      </w:r>
    </w:p>
    <w:p w:rsidR="00E54559" w:rsidRPr="00E54559" w:rsidRDefault="00E54559" w:rsidP="00190A6B">
      <w:pPr>
        <w:pStyle w:val="Default"/>
        <w:ind w:firstLine="360"/>
        <w:jc w:val="both"/>
      </w:pPr>
      <w:r w:rsidRPr="00E54559">
        <w:t xml:space="preserve">A blokkosított oktatás </w:t>
      </w:r>
      <w:r w:rsidR="00BB09EA">
        <w:t xml:space="preserve">végleges </w:t>
      </w:r>
      <w:r w:rsidRPr="00E54559">
        <w:t>eredményeinek ismeretében kell a karnak dönteni a blokkosítás sorsáról, a folytatásról és az alacsonyabb évfolyamokon történő bevezetéséről, vagy megszüntetéséről. A hallgatói összességében pozitív vélemények mellett az oktatásban résztvevő szervezeti egységek is arról számoltak be, hogy a blokkosított oktatás megoldható feladatot jelent számukra, és a korábbinál egyenletesebbé tette a klinikák oktatási terhelés</w:t>
      </w:r>
      <w:r w:rsidR="00226755">
        <w:t>ét</w:t>
      </w:r>
      <w:r w:rsidRPr="00E54559">
        <w:t>. Fel kell azonban m</w:t>
      </w:r>
      <w:r w:rsidR="00226755">
        <w:t>érnünk, és figyelembe kell vennünk</w:t>
      </w:r>
      <w:r w:rsidRPr="00E54559">
        <w:t xml:space="preserve"> a külföldi hallgatók véleményét is</w:t>
      </w:r>
      <w:r w:rsidR="00226755">
        <w:t>.</w:t>
      </w:r>
      <w:r w:rsidRPr="00E54559">
        <w:t xml:space="preserve"> Ez azért fontos, mert az eddig hallott sporadikus vélemények eltérők. </w:t>
      </w:r>
    </w:p>
    <w:p w:rsidR="00730A76" w:rsidRPr="00E54559" w:rsidRDefault="00730A76" w:rsidP="00190A6B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5FF" w:rsidRPr="009E346E" w:rsidRDefault="009E346E" w:rsidP="00190A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346E">
        <w:rPr>
          <w:rFonts w:ascii="Times New Roman" w:hAnsi="Times New Roman"/>
          <w:i/>
          <w:color w:val="000000"/>
          <w:sz w:val="24"/>
          <w:szCs w:val="24"/>
        </w:rPr>
        <w:t>„</w:t>
      </w:r>
      <w:r w:rsidR="007B35FF" w:rsidRPr="009E346E">
        <w:rPr>
          <w:rFonts w:ascii="Times New Roman" w:hAnsi="Times New Roman"/>
          <w:i/>
          <w:color w:val="000000"/>
          <w:sz w:val="24"/>
          <w:szCs w:val="24"/>
        </w:rPr>
        <w:t xml:space="preserve">A nagy létszámú, három nyelven folyó oktatás </w:t>
      </w:r>
      <w:r w:rsidR="007B35FF" w:rsidRPr="009E346E">
        <w:rPr>
          <w:rFonts w:ascii="Times New Roman" w:hAnsi="Times New Roman"/>
          <w:bCs/>
          <w:i/>
          <w:color w:val="000000"/>
          <w:sz w:val="24"/>
          <w:szCs w:val="24"/>
        </w:rPr>
        <w:t xml:space="preserve">valós képzési igényeit figyelembe véve </w:t>
      </w:r>
      <w:r w:rsidR="007B35FF" w:rsidRPr="009E346E">
        <w:rPr>
          <w:rFonts w:ascii="Times New Roman" w:hAnsi="Times New Roman"/>
          <w:i/>
          <w:color w:val="000000"/>
          <w:sz w:val="24"/>
          <w:szCs w:val="24"/>
        </w:rPr>
        <w:t xml:space="preserve">a </w:t>
      </w:r>
      <w:r w:rsidR="007B35FF" w:rsidRPr="009E346E">
        <w:rPr>
          <w:rFonts w:ascii="Times New Roman" w:hAnsi="Times New Roman"/>
          <w:bCs/>
          <w:i/>
          <w:color w:val="000000"/>
          <w:sz w:val="24"/>
          <w:szCs w:val="24"/>
        </w:rPr>
        <w:t>személyi feltételek javítása</w:t>
      </w:r>
      <w:r w:rsidR="007B35FF" w:rsidRPr="009E346E">
        <w:rPr>
          <w:rFonts w:ascii="Times New Roman" w:hAnsi="Times New Roman"/>
          <w:i/>
          <w:color w:val="000000"/>
          <w:sz w:val="24"/>
          <w:szCs w:val="24"/>
        </w:rPr>
        <w:t>, az oktató</w:t>
      </w:r>
      <w:r w:rsidRPr="009E346E">
        <w:rPr>
          <w:rFonts w:ascii="Times New Roman" w:hAnsi="Times New Roman"/>
          <w:i/>
          <w:color w:val="000000"/>
          <w:sz w:val="24"/>
          <w:szCs w:val="24"/>
        </w:rPr>
        <w:t>i kapacitás bővítése szükséges.”</w:t>
      </w:r>
    </w:p>
    <w:p w:rsidR="00E54559" w:rsidRDefault="00E54559" w:rsidP="00190A6B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321" w:rsidRDefault="00E54559" w:rsidP="00190A6B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karon oktatott hallgatók</w:t>
      </w:r>
      <w:r w:rsidRPr="00DE7360">
        <w:rPr>
          <w:rFonts w:ascii="Times New Roman" w:hAnsi="Times New Roman" w:cs="Times New Roman"/>
          <w:sz w:val="24"/>
          <w:szCs w:val="24"/>
        </w:rPr>
        <w:t xml:space="preserve"> óriási létszám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7360">
        <w:rPr>
          <w:rFonts w:ascii="Times New Roman" w:hAnsi="Times New Roman" w:cs="Times New Roman"/>
          <w:sz w:val="24"/>
          <w:szCs w:val="24"/>
        </w:rPr>
        <w:t xml:space="preserve"> a kar kapacitásainak határait feszegeti, ezért a</w:t>
      </w:r>
      <w:r>
        <w:rPr>
          <w:rFonts w:ascii="Times New Roman" w:hAnsi="Times New Roman" w:cs="Times New Roman"/>
          <w:sz w:val="24"/>
          <w:szCs w:val="24"/>
        </w:rPr>
        <w:t xml:space="preserve"> megfelelő minőség biztosítása érdekében a</w:t>
      </w:r>
      <w:r w:rsidRPr="00DE7360">
        <w:rPr>
          <w:rFonts w:ascii="Times New Roman" w:hAnsi="Times New Roman" w:cs="Times New Roman"/>
          <w:sz w:val="24"/>
          <w:szCs w:val="24"/>
        </w:rPr>
        <w:t xml:space="preserve">z alapképzés és a </w:t>
      </w:r>
      <w:proofErr w:type="spellStart"/>
      <w:r w:rsidRPr="00DE7360">
        <w:rPr>
          <w:rFonts w:ascii="Times New Roman" w:hAnsi="Times New Roman" w:cs="Times New Roman"/>
          <w:sz w:val="24"/>
          <w:szCs w:val="24"/>
        </w:rPr>
        <w:t>preklinikai</w:t>
      </w:r>
      <w:proofErr w:type="spellEnd"/>
      <w:r w:rsidRPr="00DE7360">
        <w:rPr>
          <w:rFonts w:ascii="Times New Roman" w:hAnsi="Times New Roman" w:cs="Times New Roman"/>
          <w:sz w:val="24"/>
          <w:szCs w:val="24"/>
        </w:rPr>
        <w:t xml:space="preserve"> képzés humán-erőforrás és infrastrukturális feltételeinek sürgős fejlesztését igényli. Mivel az Egyetem pénzügyi bevételeinek jelentős hányadát az idegen nyelvű oktatás képezi, létkérdés a fent említett feltételek javítása és további fejlesztése.</w:t>
      </w:r>
      <w:r w:rsidRPr="00E5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59" w:rsidRPr="001A496B" w:rsidRDefault="00E54559" w:rsidP="00190A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96B">
        <w:rPr>
          <w:rFonts w:ascii="Times New Roman" w:hAnsi="Times New Roman" w:cs="Times New Roman"/>
          <w:sz w:val="24"/>
          <w:szCs w:val="24"/>
        </w:rPr>
        <w:t>A korábbi évek során végrehajtott humánpolitikai intézkedések eredményeként sikerült kiemelkedő szaktudású, iskolateremtő, nemzetközileg elismert idősebb oktatókat szaktanácsadóként, részfoglalkozású közalkalmazottként, professzor emeritus-ként tovább foglalkoztatni, tapasztalatukkal jelentősen segítve az oktatást és az egészségügyi ellátást</w:t>
      </w:r>
      <w:r w:rsidR="00226755">
        <w:rPr>
          <w:rFonts w:ascii="Times New Roman" w:hAnsi="Times New Roman" w:cs="Times New Roman"/>
          <w:sz w:val="24"/>
          <w:szCs w:val="24"/>
        </w:rPr>
        <w:t>. Ezenkívül a</w:t>
      </w:r>
      <w:r w:rsidRPr="001A496B">
        <w:rPr>
          <w:rFonts w:ascii="Times New Roman" w:hAnsi="Times New Roman" w:cs="Times New Roman"/>
          <w:sz w:val="24"/>
          <w:szCs w:val="24"/>
        </w:rPr>
        <w:t xml:space="preserve"> tehetséges fiatal munkatársak munkába állításával igyeksz</w:t>
      </w:r>
      <w:r w:rsidR="00226755">
        <w:rPr>
          <w:rFonts w:ascii="Times New Roman" w:hAnsi="Times New Roman" w:cs="Times New Roman"/>
          <w:sz w:val="24"/>
          <w:szCs w:val="24"/>
        </w:rPr>
        <w:t>ünk</w:t>
      </w:r>
      <w:r w:rsidRPr="001A496B">
        <w:rPr>
          <w:rFonts w:ascii="Times New Roman" w:hAnsi="Times New Roman" w:cs="Times New Roman"/>
          <w:sz w:val="24"/>
          <w:szCs w:val="24"/>
        </w:rPr>
        <w:t xml:space="preserve"> biztosítani az Egyetem oktatói-kutatói és az </w:t>
      </w:r>
      <w:proofErr w:type="spellStart"/>
      <w:r w:rsidRPr="001A496B">
        <w:rPr>
          <w:rFonts w:ascii="Times New Roman" w:hAnsi="Times New Roman" w:cs="Times New Roman"/>
          <w:sz w:val="24"/>
          <w:szCs w:val="24"/>
        </w:rPr>
        <w:t>orvosszakmai</w:t>
      </w:r>
      <w:proofErr w:type="spellEnd"/>
      <w:r w:rsidRPr="001A496B">
        <w:rPr>
          <w:rFonts w:ascii="Times New Roman" w:hAnsi="Times New Roman" w:cs="Times New Roman"/>
          <w:sz w:val="24"/>
          <w:szCs w:val="24"/>
        </w:rPr>
        <w:t xml:space="preserve"> utánpótláshoz szükséges humánerőforrást. </w:t>
      </w:r>
    </w:p>
    <w:p w:rsidR="00E54559" w:rsidRPr="001A496B" w:rsidRDefault="00E54559" w:rsidP="00190A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96B">
        <w:rPr>
          <w:rFonts w:ascii="Times New Roman" w:hAnsi="Times New Roman" w:cs="Times New Roman"/>
          <w:sz w:val="24"/>
          <w:szCs w:val="24"/>
        </w:rPr>
        <w:t xml:space="preserve">A PhD hallgatóknak a tudományos minősítésük megszerzését követően történő foglalkoztatása többnyire az oktatói létszámot erősíti. </w:t>
      </w:r>
    </w:p>
    <w:p w:rsidR="00E54559" w:rsidRPr="001A496B" w:rsidRDefault="00E54559" w:rsidP="00190A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96B">
        <w:rPr>
          <w:rFonts w:ascii="Times New Roman" w:hAnsi="Times New Roman" w:cs="Times New Roman"/>
          <w:sz w:val="24"/>
          <w:szCs w:val="24"/>
        </w:rPr>
        <w:t>A szervezet erősítése, a sokéves tapasztalattal rendelkező emberek megtartása, a tehetségek vonzása érdekében szükséges lenne a versenyképes jövedelmek biztosítása, különös tekintettel a nemzetközi mobilitás növekedésére.</w:t>
      </w:r>
    </w:p>
    <w:p w:rsidR="00372321" w:rsidRDefault="00372321" w:rsidP="00190A6B">
      <w:pPr>
        <w:pStyle w:val="Default"/>
        <w:jc w:val="both"/>
      </w:pPr>
      <w:r w:rsidRPr="00372321">
        <w:t xml:space="preserve">2014-ben a teljes munkaidőben foglalkoztatott oktatói-kutatói létszám 747 volt. Ebből 74%-uk, 553 alkalmazott rendelkezett tudományos fokozattal. 2015-ben 1019 főből 742-nek volt </w:t>
      </w:r>
      <w:r w:rsidRPr="00372321">
        <w:lastRenderedPageBreak/>
        <w:t xml:space="preserve">tudományos fokozata. Az elmúlt év 36%-os oktatói bővülése, </w:t>
      </w:r>
      <w:r w:rsidR="00226755">
        <w:t xml:space="preserve">azonban </w:t>
      </w:r>
      <w:r w:rsidRPr="00372321">
        <w:t xml:space="preserve">csak mérsékelten enyhíti az oktatók terhelését, különösen a </w:t>
      </w:r>
      <w:proofErr w:type="spellStart"/>
      <w:r w:rsidRPr="00372321">
        <w:t>klinikumban</w:t>
      </w:r>
      <w:proofErr w:type="spellEnd"/>
      <w:r>
        <w:t xml:space="preserve"> </w:t>
      </w:r>
      <w:r w:rsidR="00226755">
        <w:t>dolgozókét</w:t>
      </w:r>
      <w:r w:rsidRPr="00372321">
        <w:t xml:space="preserve">. </w:t>
      </w:r>
    </w:p>
    <w:p w:rsidR="00372321" w:rsidRPr="00372321" w:rsidRDefault="00372321" w:rsidP="00190A6B">
      <w:pPr>
        <w:pStyle w:val="Default"/>
        <w:jc w:val="both"/>
      </w:pPr>
      <w:r w:rsidRPr="00372321">
        <w:t>A teljes munkaidőben foglalkoztatott, tudományos fokozattal rendelkező oktatóra jutó teljes idejű nappali képzésben részt vevő (</w:t>
      </w:r>
      <w:r w:rsidRPr="00372321">
        <w:rPr>
          <w:i/>
          <w:iCs/>
        </w:rPr>
        <w:t>aktív</w:t>
      </w:r>
      <w:r w:rsidRPr="00372321">
        <w:t xml:space="preserve">) hallgatók száma 2014-ben </w:t>
      </w:r>
      <w:r w:rsidRPr="00372321">
        <w:rPr>
          <w:bCs/>
        </w:rPr>
        <w:t>7.9</w:t>
      </w:r>
      <w:r w:rsidRPr="00372321">
        <w:rPr>
          <w:b/>
          <w:bCs/>
        </w:rPr>
        <w:t xml:space="preserve"> </w:t>
      </w:r>
      <w:r w:rsidRPr="00372321">
        <w:t xml:space="preserve">fő, 2015-ben pedig 6,1 fő volt. </w:t>
      </w:r>
    </w:p>
    <w:p w:rsidR="00372321" w:rsidRPr="00372321" w:rsidRDefault="00372321" w:rsidP="00190A6B">
      <w:pPr>
        <w:pStyle w:val="Default"/>
        <w:jc w:val="both"/>
      </w:pPr>
    </w:p>
    <w:p w:rsidR="00372321" w:rsidRDefault="00372321" w:rsidP="00190A6B">
      <w:pPr>
        <w:pStyle w:val="Default"/>
        <w:jc w:val="both"/>
      </w:pPr>
      <w:r w:rsidRPr="00372321">
        <w:t xml:space="preserve"> </w:t>
      </w:r>
    </w:p>
    <w:p w:rsidR="00372321" w:rsidRPr="00372321" w:rsidRDefault="00372321" w:rsidP="00190A6B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9CE">
        <w:rPr>
          <w:rFonts w:ascii="Times New Roman" w:eastAsia="ヒラギノ角ゴ Pro W3" w:hAnsi="Times New Roman" w:cs="Times New Roman"/>
          <w:i/>
          <w:sz w:val="20"/>
          <w:szCs w:val="20"/>
        </w:rPr>
        <w:t>Oktatói, kutatói és tanári munkakörben foglalkoztatott munkatársak és Professor Emeritus címmel rendelkezők 2015.-ben.</w:t>
      </w:r>
    </w:p>
    <w:tbl>
      <w:tblPr>
        <w:tblpPr w:leftFromText="141" w:rightFromText="141" w:vertAnchor="text" w:horzAnchor="margin" w:tblpXSpec="center" w:tblpY="6"/>
        <w:tblW w:w="10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1266"/>
        <w:gridCol w:w="851"/>
        <w:gridCol w:w="1485"/>
        <w:gridCol w:w="1350"/>
        <w:gridCol w:w="874"/>
        <w:gridCol w:w="972"/>
        <w:gridCol w:w="1130"/>
      </w:tblGrid>
      <w:tr w:rsidR="00372321" w:rsidRPr="008E5DF0" w:rsidTr="00372321">
        <w:trPr>
          <w:trHeight w:val="1350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Kar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megnevezése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Munkakör típusa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MTA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tag (levelező és rendes)</w:t>
            </w:r>
          </w:p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MTA doktora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T</w:t>
            </w: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udomány(</w:t>
            </w:r>
            <w:proofErr w:type="gramEnd"/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ok) kandidátusa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PhD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 fokozattal rendelkezők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Fokozat nélküli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Emeritus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Ö</w:t>
            </w: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sszes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en</w:t>
            </w:r>
          </w:p>
        </w:tc>
      </w:tr>
      <w:tr w:rsidR="00372321" w:rsidRPr="008E5DF0" w:rsidTr="00372321">
        <w:trPr>
          <w:trHeight w:val="25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Általános Orvostudományi Kar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Kutatói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1 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8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8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70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69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156</w:t>
            </w:r>
          </w:p>
        </w:tc>
      </w:tr>
      <w:tr w:rsidR="00372321" w:rsidRPr="008E5DF0" w:rsidTr="00372321">
        <w:trPr>
          <w:trHeight w:val="63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Oktatói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413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206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74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860</w:t>
            </w:r>
          </w:p>
        </w:tc>
      </w:tr>
      <w:tr w:rsidR="00372321" w:rsidRPr="008E5DF0" w:rsidTr="00372321">
        <w:trPr>
          <w:trHeight w:val="255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Tanári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8E5DF0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</w:tr>
      <w:tr w:rsidR="00372321" w:rsidRPr="008E5DF0" w:rsidTr="00372321">
        <w:trPr>
          <w:trHeight w:val="270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Összesen: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14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89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81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484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277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74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372321" w:rsidRPr="008E5DF0" w:rsidRDefault="00372321" w:rsidP="00190A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E5DF0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1 019</w:t>
            </w:r>
          </w:p>
        </w:tc>
      </w:tr>
    </w:tbl>
    <w:p w:rsidR="00372321" w:rsidRDefault="00372321" w:rsidP="00190A6B">
      <w:pPr>
        <w:pStyle w:val="Default"/>
        <w:jc w:val="both"/>
      </w:pPr>
    </w:p>
    <w:p w:rsidR="00372321" w:rsidRPr="00372321" w:rsidRDefault="00372321" w:rsidP="00190A6B">
      <w:pPr>
        <w:pStyle w:val="Default"/>
        <w:jc w:val="both"/>
      </w:pPr>
    </w:p>
    <w:p w:rsidR="00E4431E" w:rsidRPr="00447032" w:rsidRDefault="00447032" w:rsidP="00190A6B">
      <w:pPr>
        <w:pStyle w:val="Default"/>
        <w:numPr>
          <w:ilvl w:val="0"/>
          <w:numId w:val="3"/>
        </w:numPr>
        <w:jc w:val="both"/>
        <w:rPr>
          <w:i/>
        </w:rPr>
      </w:pPr>
      <w:r w:rsidRPr="00447032">
        <w:rPr>
          <w:i/>
        </w:rPr>
        <w:t>„</w:t>
      </w:r>
      <w:r w:rsidR="00E4431E" w:rsidRPr="00447032">
        <w:rPr>
          <w:i/>
        </w:rPr>
        <w:t xml:space="preserve">Nem történt lényeges előrelépés a párhuzamosságok felszámolásában. Nem látszik indokoltnak a két élettani intézet, két anatómiai intézet, s feltehetőleg a két patológiai intézet fenntartása sem. S a klinikák területén is vannak megszüntetendő párhuzamosságok. </w:t>
      </w:r>
      <w:r w:rsidRPr="00447032">
        <w:rPr>
          <w:i/>
        </w:rPr>
        <w:t>„</w:t>
      </w:r>
    </w:p>
    <w:p w:rsidR="00E4431E" w:rsidRPr="00226755" w:rsidRDefault="00E4431E" w:rsidP="00190A6B">
      <w:pPr>
        <w:pStyle w:val="Default"/>
        <w:jc w:val="both"/>
      </w:pPr>
    </w:p>
    <w:p w:rsidR="00E4431E" w:rsidRPr="00226755" w:rsidRDefault="00E4431E" w:rsidP="00190A6B">
      <w:pPr>
        <w:pStyle w:val="Default"/>
        <w:ind w:firstLine="360"/>
        <w:jc w:val="both"/>
        <w:rPr>
          <w:color w:val="auto"/>
        </w:rPr>
      </w:pPr>
      <w:r w:rsidRPr="00226755">
        <w:rPr>
          <w:color w:val="auto"/>
        </w:rPr>
        <w:t xml:space="preserve">A MAB javaslataiból kiindulva, és a Kari Tanács döntéseinek alapján a Kar megkezdte a párhuzamosságok felszámolását az első két évfolyamon. Ennek eredményeként a Szenátus döntött az Anatómia, Szövet- és Fejlődéstani Intézet és a Humánmorfológiai, valamint Fejlődésbiológiai Intézetek összevonásáról 2016. január 1-től, valamint a 2015/2016 tanév első félévétől az orvosi élettan tantárgy összevont oktatásáról. </w:t>
      </w:r>
    </w:p>
    <w:p w:rsidR="00E4431E" w:rsidRPr="00226755" w:rsidRDefault="00E4431E" w:rsidP="00190A6B">
      <w:pPr>
        <w:pStyle w:val="Default"/>
        <w:jc w:val="both"/>
      </w:pPr>
    </w:p>
    <w:p w:rsidR="00E4431E" w:rsidRPr="00226755" w:rsidRDefault="00E4431E" w:rsidP="00190A6B">
      <w:pPr>
        <w:pStyle w:val="Default"/>
        <w:jc w:val="both"/>
      </w:pPr>
    </w:p>
    <w:p w:rsidR="000B7EFA" w:rsidRDefault="00367DF7" w:rsidP="00190A6B">
      <w:pPr>
        <w:autoSpaceDE w:val="0"/>
        <w:autoSpaceDN w:val="0"/>
        <w:adjustRightInd w:val="0"/>
        <w:spacing w:after="0" w:line="240" w:lineRule="auto"/>
        <w:jc w:val="both"/>
      </w:pPr>
      <w:r w:rsidRPr="00226755">
        <w:rPr>
          <w:rFonts w:ascii="Times New Roman" w:hAnsi="Times New Roman" w:cs="Times New Roman"/>
          <w:sz w:val="24"/>
          <w:szCs w:val="24"/>
        </w:rPr>
        <w:t xml:space="preserve">Az </w:t>
      </w:r>
      <w:r w:rsidRPr="00226755">
        <w:rPr>
          <w:rFonts w:ascii="Times New Roman" w:hAnsi="Times New Roman" w:cs="Times New Roman"/>
          <w:bCs/>
          <w:iCs/>
          <w:sz w:val="24"/>
          <w:szCs w:val="24"/>
        </w:rPr>
        <w:t xml:space="preserve">oktatási tevékenység minőségének </w:t>
      </w:r>
      <w:r w:rsidRPr="00226755">
        <w:rPr>
          <w:rFonts w:ascii="Times New Roman" w:hAnsi="Times New Roman" w:cs="Times New Roman"/>
          <w:sz w:val="24"/>
          <w:szCs w:val="24"/>
        </w:rPr>
        <w:t xml:space="preserve">folyamatos fejlesztése kapcsán a kar kiemelt figyelmet fordít a magyar és </w:t>
      </w:r>
      <w:r w:rsidRPr="00226755">
        <w:rPr>
          <w:rFonts w:ascii="Times New Roman" w:hAnsi="Times New Roman" w:cs="Times New Roman"/>
          <w:bCs/>
          <w:iCs/>
          <w:sz w:val="24"/>
          <w:szCs w:val="24"/>
        </w:rPr>
        <w:t xml:space="preserve">idegen nyelvű képzés </w:t>
      </w:r>
      <w:r w:rsidRPr="00226755">
        <w:rPr>
          <w:rFonts w:ascii="Times New Roman" w:hAnsi="Times New Roman" w:cs="Times New Roman"/>
          <w:sz w:val="24"/>
          <w:szCs w:val="24"/>
        </w:rPr>
        <w:t xml:space="preserve">minőségi fejlesztésére, a </w:t>
      </w:r>
      <w:r w:rsidRPr="00226755">
        <w:rPr>
          <w:rFonts w:ascii="Times New Roman" w:hAnsi="Times New Roman" w:cs="Times New Roman"/>
          <w:bCs/>
          <w:iCs/>
          <w:sz w:val="24"/>
          <w:szCs w:val="24"/>
        </w:rPr>
        <w:t xml:space="preserve">curriculum </w:t>
      </w:r>
      <w:r w:rsidRPr="00226755">
        <w:rPr>
          <w:rFonts w:ascii="Times New Roman" w:hAnsi="Times New Roman" w:cs="Times New Roman"/>
          <w:sz w:val="24"/>
          <w:szCs w:val="24"/>
        </w:rPr>
        <w:t xml:space="preserve">folyamatos fejlesztésére, </w:t>
      </w:r>
      <w:r w:rsidRPr="00226755">
        <w:rPr>
          <w:rFonts w:ascii="Times New Roman" w:hAnsi="Times New Roman" w:cs="Times New Roman"/>
          <w:bCs/>
          <w:iCs/>
          <w:sz w:val="24"/>
          <w:szCs w:val="24"/>
        </w:rPr>
        <w:t xml:space="preserve">új képzési irányok </w:t>
      </w:r>
      <w:r w:rsidRPr="00226755">
        <w:rPr>
          <w:rFonts w:ascii="Times New Roman" w:hAnsi="Times New Roman" w:cs="Times New Roman"/>
          <w:sz w:val="24"/>
          <w:szCs w:val="24"/>
        </w:rPr>
        <w:t xml:space="preserve">kialakítására, a </w:t>
      </w:r>
      <w:r w:rsidRPr="00226755">
        <w:rPr>
          <w:rFonts w:ascii="Times New Roman" w:hAnsi="Times New Roman" w:cs="Times New Roman"/>
          <w:bCs/>
          <w:iCs/>
          <w:sz w:val="24"/>
          <w:szCs w:val="24"/>
        </w:rPr>
        <w:t xml:space="preserve">hallgatók elégedettségének </w:t>
      </w:r>
      <w:r w:rsidRPr="00226755">
        <w:rPr>
          <w:rFonts w:ascii="Times New Roman" w:hAnsi="Times New Roman" w:cs="Times New Roman"/>
          <w:sz w:val="24"/>
          <w:szCs w:val="24"/>
        </w:rPr>
        <w:t>növelésére és a fejlesztési feladatokba történő bevonásukra. A tanterv-reform egyes lényeges változtatásai az elméleti intézetekben már bevezetésre kerültek.</w:t>
      </w:r>
      <w:r w:rsidR="00226755">
        <w:t xml:space="preserve"> </w:t>
      </w:r>
    </w:p>
    <w:sectPr w:rsidR="000B7E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6E" w:rsidRDefault="009E346E" w:rsidP="00190A6B">
      <w:pPr>
        <w:spacing w:after="0" w:line="240" w:lineRule="auto"/>
      </w:pPr>
      <w:r>
        <w:separator/>
      </w:r>
    </w:p>
  </w:endnote>
  <w:endnote w:type="continuationSeparator" w:id="0">
    <w:p w:rsidR="009E346E" w:rsidRDefault="009E346E" w:rsidP="0019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Bemb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6E" w:rsidRDefault="009E346E" w:rsidP="00190A6B">
      <w:pPr>
        <w:spacing w:after="0" w:line="240" w:lineRule="auto"/>
      </w:pPr>
      <w:r>
        <w:separator/>
      </w:r>
    </w:p>
  </w:footnote>
  <w:footnote w:type="continuationSeparator" w:id="0">
    <w:p w:rsidR="009E346E" w:rsidRDefault="009E346E" w:rsidP="0019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819524"/>
      <w:docPartObj>
        <w:docPartGallery w:val="Page Numbers (Top of Page)"/>
        <w:docPartUnique/>
      </w:docPartObj>
    </w:sdtPr>
    <w:sdtEndPr/>
    <w:sdtContent>
      <w:p w:rsidR="009E346E" w:rsidRDefault="009E346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69">
          <w:rPr>
            <w:noProof/>
          </w:rPr>
          <w:t>1</w:t>
        </w:r>
        <w:r>
          <w:fldChar w:fldCharType="end"/>
        </w:r>
      </w:p>
    </w:sdtContent>
  </w:sdt>
  <w:p w:rsidR="009E346E" w:rsidRDefault="009E34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FAE"/>
    <w:multiLevelType w:val="hybridMultilevel"/>
    <w:tmpl w:val="EC1E036A"/>
    <w:lvl w:ilvl="0" w:tplc="EA263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6772E4D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1AB2"/>
    <w:multiLevelType w:val="multilevel"/>
    <w:tmpl w:val="A35EEA3A"/>
    <w:lvl w:ilvl="0">
      <w:start w:val="1"/>
      <w:numFmt w:val="decimal"/>
      <w:pStyle w:val="Cmsor1"/>
      <w:lvlText w:val="%1."/>
      <w:lvlJc w:val="left"/>
      <w:pPr>
        <w:tabs>
          <w:tab w:val="num" w:pos="0"/>
        </w:tabs>
      </w:pPr>
      <w:rPr>
        <w:rFonts w:ascii="H-Bembo" w:hAnsi="H-Bembo" w:cs="H-Bembo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suff w:val="space"/>
      <w:lvlText w:val="%1.%2."/>
      <w:lvlJc w:val="left"/>
      <w:rPr>
        <w:rFonts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pStyle w:val="Cm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2" w15:restartNumberingAfterBreak="0">
    <w:nsid w:val="6019675E"/>
    <w:multiLevelType w:val="hybridMultilevel"/>
    <w:tmpl w:val="12243358"/>
    <w:lvl w:ilvl="0" w:tplc="0FBE63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53EB4"/>
    <w:multiLevelType w:val="hybridMultilevel"/>
    <w:tmpl w:val="33D042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5EFC"/>
    <w:multiLevelType w:val="hybridMultilevel"/>
    <w:tmpl w:val="0BD0A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7"/>
    <w:rsid w:val="00006569"/>
    <w:rsid w:val="000425E1"/>
    <w:rsid w:val="00052901"/>
    <w:rsid w:val="000B7EFA"/>
    <w:rsid w:val="00185967"/>
    <w:rsid w:val="00190A6B"/>
    <w:rsid w:val="001D323F"/>
    <w:rsid w:val="001E5822"/>
    <w:rsid w:val="00226755"/>
    <w:rsid w:val="002861B8"/>
    <w:rsid w:val="003354B2"/>
    <w:rsid w:val="00367DF7"/>
    <w:rsid w:val="00372321"/>
    <w:rsid w:val="00447032"/>
    <w:rsid w:val="004909CE"/>
    <w:rsid w:val="00510B1C"/>
    <w:rsid w:val="00730A76"/>
    <w:rsid w:val="00777977"/>
    <w:rsid w:val="007B35FF"/>
    <w:rsid w:val="007D64BF"/>
    <w:rsid w:val="007F2A91"/>
    <w:rsid w:val="0088187A"/>
    <w:rsid w:val="008D48D6"/>
    <w:rsid w:val="009E346E"/>
    <w:rsid w:val="00A26AD8"/>
    <w:rsid w:val="00A430E5"/>
    <w:rsid w:val="00A84DF1"/>
    <w:rsid w:val="00B8633D"/>
    <w:rsid w:val="00BB09EA"/>
    <w:rsid w:val="00BE7AF2"/>
    <w:rsid w:val="00BF1977"/>
    <w:rsid w:val="00C00E09"/>
    <w:rsid w:val="00C26379"/>
    <w:rsid w:val="00CC5D1D"/>
    <w:rsid w:val="00D22C3C"/>
    <w:rsid w:val="00D33318"/>
    <w:rsid w:val="00D7640A"/>
    <w:rsid w:val="00E4431E"/>
    <w:rsid w:val="00E54559"/>
    <w:rsid w:val="00EF119A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4837-4BB2-4FC2-A8CF-AAD82A4A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BE7AF2"/>
    <w:pPr>
      <w:keepNext/>
      <w:numPr>
        <w:numId w:val="1"/>
      </w:numPr>
      <w:tabs>
        <w:tab w:val="left" w:pos="284"/>
      </w:tabs>
      <w:spacing w:before="360" w:after="60" w:line="240" w:lineRule="auto"/>
      <w:jc w:val="both"/>
      <w:outlineLvl w:val="0"/>
    </w:pPr>
    <w:rPr>
      <w:rFonts w:ascii="Arial" w:eastAsia="Times New Roman" w:hAnsi="Arial" w:cs="Times New Roman"/>
      <w:b/>
      <w:bCs/>
      <w:smallCaps/>
      <w:color w:val="A50021"/>
      <w:sz w:val="24"/>
      <w:szCs w:val="24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BE7AF2"/>
    <w:pPr>
      <w:numPr>
        <w:ilvl w:val="1"/>
        <w:numId w:val="1"/>
      </w:numPr>
      <w:spacing w:before="60" w:after="60" w:line="240" w:lineRule="auto"/>
      <w:outlineLvl w:val="1"/>
    </w:pPr>
    <w:rPr>
      <w:rFonts w:ascii="Calibri" w:eastAsia="Times New Roman" w:hAnsi="Calibri" w:cs="Times New Roman"/>
      <w:b/>
      <w:bCs/>
      <w:sz w:val="18"/>
      <w:szCs w:val="1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5967"/>
    <w:rPr>
      <w:color w:val="0563C1" w:themeColor="hyperlink"/>
      <w:u w:val="single"/>
    </w:rPr>
  </w:style>
  <w:style w:type="paragraph" w:customStyle="1" w:styleId="Default">
    <w:name w:val="Default"/>
    <w:rsid w:val="00286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BE7AF2"/>
    <w:rPr>
      <w:rFonts w:ascii="Arial" w:eastAsia="Times New Roman" w:hAnsi="Arial" w:cs="Times New Roman"/>
      <w:b/>
      <w:bCs/>
      <w:smallCaps/>
      <w:color w:val="A5002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BE7AF2"/>
    <w:rPr>
      <w:rFonts w:ascii="Calibri" w:eastAsia="Times New Roman" w:hAnsi="Calibri" w:cs="Times New Roman"/>
      <w:b/>
      <w:bCs/>
      <w:sz w:val="18"/>
      <w:szCs w:val="18"/>
      <w:lang w:val="x-none" w:eastAsia="x-none"/>
    </w:rPr>
  </w:style>
  <w:style w:type="paragraph" w:customStyle="1" w:styleId="cm2">
    <w:name w:val="cím 2"/>
    <w:basedOn w:val="Cmsor2"/>
    <w:rsid w:val="00BE7AF2"/>
    <w:pPr>
      <w:spacing w:before="240" w:after="120"/>
    </w:pPr>
    <w:rPr>
      <w:sz w:val="20"/>
      <w:szCs w:val="20"/>
    </w:rPr>
  </w:style>
  <w:style w:type="paragraph" w:customStyle="1" w:styleId="Cm3">
    <w:name w:val="Cím 3"/>
    <w:basedOn w:val="cm2"/>
    <w:rsid w:val="00BE7AF2"/>
    <w:pPr>
      <w:numPr>
        <w:ilvl w:val="2"/>
      </w:numPr>
      <w:tabs>
        <w:tab w:val="num" w:pos="2160"/>
      </w:tabs>
      <w:ind w:left="2160" w:hanging="180"/>
    </w:pPr>
    <w:rPr>
      <w:i/>
      <w:iCs/>
    </w:rPr>
  </w:style>
  <w:style w:type="table" w:styleId="Rcsostblzat">
    <w:name w:val="Table Grid"/>
    <w:basedOn w:val="Normltblzat"/>
    <w:uiPriority w:val="59"/>
    <w:rsid w:val="00B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22C3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rsid w:val="00510B1C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rsid w:val="00510B1C"/>
    <w:rPr>
      <w:rFonts w:ascii="Calibri" w:eastAsia="Calibri" w:hAnsi="Calibri" w:cs="Times New Roman"/>
    </w:rPr>
  </w:style>
  <w:style w:type="paragraph" w:customStyle="1" w:styleId="MellkletAl">
    <w:name w:val="MellékletAl"/>
    <w:basedOn w:val="Idzet"/>
    <w:link w:val="MellkletAlChar"/>
    <w:qFormat/>
    <w:rsid w:val="00510B1C"/>
    <w:pPr>
      <w:spacing w:before="60" w:after="60" w:line="240" w:lineRule="auto"/>
      <w:ind w:left="0" w:right="0"/>
      <w:jc w:val="both"/>
    </w:pPr>
    <w:rPr>
      <w:rFonts w:ascii="Calibri" w:eastAsia="Times New Roman" w:hAnsi="Calibri" w:cs="Calibri"/>
      <w:color w:val="000000" w:themeColor="text1"/>
      <w:sz w:val="20"/>
      <w:szCs w:val="20"/>
    </w:rPr>
  </w:style>
  <w:style w:type="paragraph" w:customStyle="1" w:styleId="Mellklet1">
    <w:name w:val="Melléklet1"/>
    <w:basedOn w:val="Norml"/>
    <w:link w:val="Mellklet1Char"/>
    <w:qFormat/>
    <w:rsid w:val="00510B1C"/>
    <w:pPr>
      <w:spacing w:after="200" w:line="240" w:lineRule="auto"/>
    </w:pPr>
    <w:rPr>
      <w:rFonts w:ascii="Times New Roman félkövér" w:eastAsia="ヒラギノ角ゴ Pro W3" w:hAnsi="Times New Roman félkövér" w:cs="Times New Roman"/>
      <w:color w:val="000000"/>
      <w:sz w:val="24"/>
      <w:szCs w:val="24"/>
      <w:lang w:val="en-US"/>
    </w:rPr>
  </w:style>
  <w:style w:type="character" w:customStyle="1" w:styleId="MellkletAlChar">
    <w:name w:val="MellékletAl Char"/>
    <w:basedOn w:val="IdzetChar"/>
    <w:link w:val="MellkletAl"/>
    <w:rsid w:val="00510B1C"/>
    <w:rPr>
      <w:rFonts w:ascii="Calibri" w:eastAsia="Times New Roman" w:hAnsi="Calibri" w:cs="Calibri"/>
      <w:i/>
      <w:iCs/>
      <w:color w:val="000000" w:themeColor="text1"/>
      <w:sz w:val="20"/>
      <w:szCs w:val="20"/>
    </w:rPr>
  </w:style>
  <w:style w:type="character" w:customStyle="1" w:styleId="Mellklet1Char">
    <w:name w:val="Melléklet1 Char"/>
    <w:basedOn w:val="Bekezdsalapbettpusa"/>
    <w:link w:val="Mellklet1"/>
    <w:rsid w:val="00510B1C"/>
    <w:rPr>
      <w:rFonts w:ascii="Times New Roman félkövér" w:eastAsia="ヒラギノ角ゴ Pro W3" w:hAnsi="Times New Roman félkövér" w:cs="Times New Roman"/>
      <w:color w:val="000000"/>
      <w:sz w:val="24"/>
      <w:szCs w:val="24"/>
      <w:lang w:val="en-US"/>
    </w:rPr>
  </w:style>
  <w:style w:type="paragraph" w:styleId="Idzet">
    <w:name w:val="Quote"/>
    <w:basedOn w:val="Norml"/>
    <w:next w:val="Norml"/>
    <w:link w:val="IdzetChar"/>
    <w:uiPriority w:val="29"/>
    <w:qFormat/>
    <w:rsid w:val="00510B1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10B1C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Bekezdsalapbettpusa"/>
    <w:rsid w:val="000425E1"/>
  </w:style>
  <w:style w:type="paragraph" w:styleId="lfej">
    <w:name w:val="header"/>
    <w:basedOn w:val="Norml"/>
    <w:link w:val="lfejChar"/>
    <w:uiPriority w:val="99"/>
    <w:unhideWhenUsed/>
    <w:rsid w:val="0019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0A6B"/>
  </w:style>
  <w:style w:type="paragraph" w:styleId="llb">
    <w:name w:val="footer"/>
    <w:basedOn w:val="Norml"/>
    <w:link w:val="llbChar"/>
    <w:uiPriority w:val="99"/>
    <w:unhideWhenUsed/>
    <w:rsid w:val="0019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0A6B"/>
  </w:style>
  <w:style w:type="table" w:customStyle="1" w:styleId="TableGrid">
    <w:name w:val="TableGrid"/>
    <w:rsid w:val="009E346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3430">
                      <w:marLeft w:val="300"/>
                      <w:marRight w:val="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universities.com/universities/semmelweis-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melweis.hu/minoseg/files/2014/05/05B-AOK.pdf&amp;intranet_on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2338</Words>
  <Characters>16134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Miklos</dc:creator>
  <cp:keywords/>
  <dc:description/>
  <cp:lastModifiedBy>Molnar Miklos</cp:lastModifiedBy>
  <cp:revision>3</cp:revision>
  <dcterms:created xsi:type="dcterms:W3CDTF">2016-01-21T15:49:00Z</dcterms:created>
  <dcterms:modified xsi:type="dcterms:W3CDTF">2016-01-21T15:50:00Z</dcterms:modified>
</cp:coreProperties>
</file>