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lang w:val="de-DE"/>
        </w:rPr>
      </w:pPr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lang w:val="de-DE"/>
        </w:rPr>
        <w:t>CEMDC 3</w:t>
      </w:r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vertAlign w:val="superscript"/>
          <w:lang w:val="de-DE"/>
        </w:rPr>
        <w:t xml:space="preserve">.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lang w:val="de-DE"/>
        </w:rPr>
        <w:t>kurzusának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lang w:val="de-DE"/>
        </w:rPr>
        <w:t xml:space="preserve">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lang w:val="de-DE"/>
        </w:rPr>
        <w:t>moduljai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u w:val="single"/>
          <w:lang w:val="de-DE"/>
        </w:rPr>
        <w:t xml:space="preserve">: 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</w:pPr>
    </w:p>
    <w:p w:rsidR="00151206" w:rsidRPr="00151206" w:rsidRDefault="00151206" w:rsidP="00151206">
      <w:pPr>
        <w:pStyle w:val="Listaszerbekezds"/>
        <w:numPr>
          <w:ilvl w:val="0"/>
          <w:numId w:val="2"/>
        </w:numPr>
        <w:spacing w:after="0" w:line="240" w:lineRule="auto"/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</w:pPr>
      <w:r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.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szeptember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 </w:t>
      </w:r>
      <w:r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– 2017.</w:t>
      </w:r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június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között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,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félévenként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 2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modul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. (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Előzetes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 xml:space="preserve"> </w:t>
      </w:r>
      <w:proofErr w:type="spellStart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időpontok</w:t>
      </w:r>
      <w:proofErr w:type="spellEnd"/>
      <w:r w:rsidRPr="00151206">
        <w:rPr>
          <w:rFonts w:ascii="Garamond" w:eastAsia="ヒラギノ角ゴ Pro W3" w:hAnsi="Garamond" w:cs="Times New Roman"/>
          <w:b/>
          <w:color w:val="000000"/>
          <w:sz w:val="26"/>
          <w:szCs w:val="26"/>
          <w:lang w:val="de-DE"/>
        </w:rPr>
        <w:t>)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  <w:lang w:val="de-DE"/>
        </w:rPr>
      </w:pPr>
    </w:p>
    <w:p w:rsidR="00151206" w:rsidRDefault="00151206" w:rsidP="00151206">
      <w:pPr>
        <w:pStyle w:val="Listaszerbekezds"/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bookmarkStart w:id="0" w:name="_GoBack"/>
      <w:bookmarkEnd w:id="0"/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MODULE 1a.  INTRODUCTORY PROGRAMME &amp; MODULE 1b. PRINCIPLES OF DISCOVERY OF MEDICINES AND DEVELOPMENT PLANNING (September 24-27, 2015)</w:t>
      </w:r>
    </w:p>
    <w:p w:rsidR="00151206" w:rsidRPr="00151206" w:rsidRDefault="00151206" w:rsidP="00151206">
      <w:pPr>
        <w:pStyle w:val="Listaszerbekezds"/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MODULE 2: NON-CLINICAL, PHARMACEUTICAL AND EARLY CLINICAL DEVELOPMENT (November 19-22, 2015)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MODULE 3: CLINICAL DEVELOPMENT OF MEDICINES: EXPLORATORY AND CONFIRMATORY (January 14-17, 2016)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MODULE 4: CLINICAL TRIALS (April 7-10, 2016)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MODULE 5: REGULATORY AFFAIRS; DRUG SAFETY and PHARMACOVIGILANCE (September 22-25, 2016)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 xml:space="preserve">MODULE 6: HEALTHCARE MARKETPLACE; ECONOMICS OF HEALTHCARE (November 17-20, 2016) 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BIOLOGICALS AND ADVANCED THERAPIES (January 19-22, 2017)</w:t>
      </w: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GENERIC &amp; BIOSIMILAR MEDICINAL PRODUCTS (April 20-23, 2017)</w:t>
      </w:r>
    </w:p>
    <w:p w:rsidR="00151206" w:rsidRDefault="00151206" w:rsidP="00151206">
      <w:pPr>
        <w:pStyle w:val="Listaszerbekezds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Pr="00151206" w:rsidRDefault="00151206" w:rsidP="00151206">
      <w:p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</w:p>
    <w:p w:rsidR="00151206" w:rsidRPr="00151206" w:rsidRDefault="00151206" w:rsidP="00151206">
      <w:pPr>
        <w:numPr>
          <w:ilvl w:val="0"/>
          <w:numId w:val="1"/>
        </w:numPr>
        <w:spacing w:after="0" w:line="240" w:lineRule="auto"/>
        <w:rPr>
          <w:rFonts w:ascii="Garamond" w:eastAsia="ヒラギノ角ゴ Pro W3" w:hAnsi="Garamond" w:cs="Times New Roman"/>
          <w:color w:val="000000"/>
          <w:sz w:val="26"/>
          <w:szCs w:val="26"/>
        </w:rPr>
      </w:pPr>
      <w:r w:rsidRPr="00151206">
        <w:rPr>
          <w:rFonts w:ascii="Garamond" w:eastAsia="ヒラギノ角ゴ Pro W3" w:hAnsi="Garamond" w:cs="Times New Roman"/>
          <w:color w:val="000000"/>
          <w:sz w:val="26"/>
          <w:szCs w:val="26"/>
        </w:rPr>
        <w:t>CLOSING EXAMINATION (September 15, 2017)</w:t>
      </w:r>
    </w:p>
    <w:p w:rsidR="00151206" w:rsidRPr="00151206" w:rsidRDefault="00151206" w:rsidP="00151206">
      <w:pPr>
        <w:rPr>
          <w:rFonts w:ascii="Garamond" w:hAnsi="Garamond"/>
          <w:sz w:val="26"/>
          <w:szCs w:val="26"/>
        </w:rPr>
      </w:pPr>
    </w:p>
    <w:p w:rsidR="00457726" w:rsidRDefault="00457726"/>
    <w:sectPr w:rsidR="0045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4B4"/>
    <w:multiLevelType w:val="hybridMultilevel"/>
    <w:tmpl w:val="56AA48C2"/>
    <w:lvl w:ilvl="0" w:tplc="E90062CA">
      <w:start w:val="201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F1C04EF"/>
    <w:multiLevelType w:val="hybridMultilevel"/>
    <w:tmpl w:val="248083E2"/>
    <w:lvl w:ilvl="0" w:tplc="1CA07702">
      <w:start w:val="1"/>
      <w:numFmt w:val="decimal"/>
      <w:lvlText w:val="%1."/>
      <w:lvlJc w:val="left"/>
      <w:pPr>
        <w:ind w:left="720" w:hanging="360"/>
      </w:pPr>
      <w:rPr>
        <w:rFonts w:ascii="Arial" w:eastAsia="ヒラギノ角ゴ Pro W3" w:hAnsi="Arial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6"/>
    <w:rsid w:val="00151206"/>
    <w:rsid w:val="0045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206"/>
    <w:rPr>
      <w:rFonts w:ascii="Arial" w:hAnsi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1206"/>
    <w:rPr>
      <w:rFonts w:ascii="Arial" w:hAnsi="Aria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1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Mihócza Magdolna</dc:creator>
  <cp:lastModifiedBy>Mihócza Magdolna</cp:lastModifiedBy>
  <cp:revision>1</cp:revision>
  <dcterms:created xsi:type="dcterms:W3CDTF">2015-12-23T07:51:00Z</dcterms:created>
  <dcterms:modified xsi:type="dcterms:W3CDTF">2015-12-23T07:52:00Z</dcterms:modified>
</cp:coreProperties>
</file>